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1A63" w14:textId="77777777" w:rsidR="00086C07" w:rsidRPr="000346B0" w:rsidRDefault="00086C07" w:rsidP="00086C07">
      <w:pPr>
        <w:pStyle w:val="Headinglevelone"/>
        <w:spacing w:before="120"/>
        <w:rPr>
          <w:rFonts w:ascii="Arial" w:hAnsi="Arial" w:cs="Arial"/>
          <w:color w:val="000000" w:themeColor="text1"/>
          <w:sz w:val="24"/>
          <w:szCs w:val="24"/>
          <w:lang w:val="en-GB"/>
        </w:rPr>
      </w:pPr>
    </w:p>
    <w:p w14:paraId="754FCE8E" w14:textId="3C5A134E" w:rsidR="00086C07" w:rsidRPr="000346B0" w:rsidRDefault="001639EC" w:rsidP="001639EC">
      <w:pPr>
        <w:pStyle w:val="Title"/>
        <w:jc w:val="center"/>
        <w:rPr>
          <w:rFonts w:ascii="Arial" w:hAnsi="Arial" w:cs="Arial"/>
          <w:color w:val="000000" w:themeColor="text1"/>
          <w:sz w:val="24"/>
          <w:szCs w:val="24"/>
        </w:rPr>
      </w:pPr>
      <w:r w:rsidRPr="000346B0">
        <w:rPr>
          <w:rFonts w:ascii="Arial" w:hAnsi="Arial" w:cs="Arial"/>
          <w:color w:val="000000" w:themeColor="text1"/>
          <w:sz w:val="24"/>
          <w:szCs w:val="24"/>
        </w:rPr>
        <w:t xml:space="preserve">NELFT </w:t>
      </w:r>
      <w:bookmarkStart w:id="0" w:name="_Hlk109373713"/>
    </w:p>
    <w:p w14:paraId="5E9477AB" w14:textId="77777777" w:rsidR="001639EC" w:rsidRPr="000346B0" w:rsidRDefault="001639EC" w:rsidP="001639EC">
      <w:pPr>
        <w:rPr>
          <w:rFonts w:ascii="Arial" w:hAnsi="Arial" w:cs="Arial"/>
          <w:color w:val="000000" w:themeColor="text1"/>
          <w:sz w:val="24"/>
          <w:szCs w:val="24"/>
        </w:rPr>
      </w:pPr>
    </w:p>
    <w:p w14:paraId="290B4812" w14:textId="30D8A47F" w:rsidR="001639EC" w:rsidRPr="000346B0" w:rsidRDefault="001639EC" w:rsidP="001639EC">
      <w:pPr>
        <w:jc w:val="center"/>
        <w:rPr>
          <w:rFonts w:ascii="Arial" w:hAnsi="Arial" w:cs="Arial"/>
          <w:color w:val="000000" w:themeColor="text1"/>
          <w:sz w:val="24"/>
          <w:szCs w:val="24"/>
        </w:rPr>
      </w:pPr>
      <w:r w:rsidRPr="000346B0">
        <w:rPr>
          <w:rFonts w:ascii="Arial" w:hAnsi="Arial" w:cs="Arial"/>
          <w:b/>
          <w:color w:val="000000" w:themeColor="text1"/>
          <w:sz w:val="24"/>
          <w:szCs w:val="24"/>
        </w:rPr>
        <w:t>Reducing the enteral syringe spend within Havering Dietetics</w:t>
      </w:r>
    </w:p>
    <w:bookmarkEnd w:id="0"/>
    <w:p w14:paraId="73A3A515" w14:textId="713AE723" w:rsidR="00C062D0" w:rsidRPr="000346B0" w:rsidRDefault="001639EC" w:rsidP="001639EC">
      <w:pPr>
        <w:jc w:val="center"/>
        <w:rPr>
          <w:rFonts w:ascii="Arial" w:hAnsi="Arial" w:cs="Arial"/>
          <w:b/>
          <w:color w:val="000000" w:themeColor="text1"/>
          <w:sz w:val="24"/>
          <w:szCs w:val="24"/>
          <w:u w:val="single"/>
        </w:rPr>
      </w:pPr>
      <w:r w:rsidRPr="000346B0">
        <w:rPr>
          <w:rFonts w:ascii="Arial" w:hAnsi="Arial" w:cs="Arial"/>
          <w:color w:val="000000" w:themeColor="text1"/>
          <w:sz w:val="24"/>
          <w:szCs w:val="24"/>
        </w:rPr>
        <w:t>Patients receiving enteral feeding in the community require plastics/ancillaries to allow feed to be pumped/bolused via the feeding tube.  Multi-use syringes are deemed adequate for use in the</w:t>
      </w:r>
      <w:r w:rsidRPr="000346B0">
        <w:rPr>
          <w:rFonts w:ascii="Arial" w:hAnsi="Arial" w:cs="Arial"/>
          <w:b/>
          <w:color w:val="000000" w:themeColor="text1"/>
          <w:sz w:val="24"/>
          <w:szCs w:val="24"/>
          <w:u w:val="single"/>
        </w:rPr>
        <w:t xml:space="preserve"> </w:t>
      </w:r>
      <w:r w:rsidRPr="000346B0">
        <w:rPr>
          <w:rFonts w:ascii="Arial" w:hAnsi="Arial" w:cs="Arial"/>
          <w:color w:val="000000" w:themeColor="text1"/>
          <w:sz w:val="24"/>
          <w:szCs w:val="24"/>
        </w:rPr>
        <w:t>community for this purpose, however acute hospital policy uses single use for infection control purposes.  Therefore,</w:t>
      </w:r>
      <w:r w:rsidR="00956307">
        <w:rPr>
          <w:rFonts w:ascii="Arial" w:hAnsi="Arial" w:cs="Arial"/>
          <w:b/>
          <w:color w:val="000000" w:themeColor="text1"/>
          <w:sz w:val="24"/>
          <w:szCs w:val="24"/>
          <w:u w:val="single"/>
        </w:rPr>
        <w:t xml:space="preserve"> </w:t>
      </w:r>
      <w:r w:rsidRPr="000346B0">
        <w:rPr>
          <w:rFonts w:ascii="Arial" w:hAnsi="Arial" w:cs="Arial"/>
          <w:color w:val="000000" w:themeColor="text1"/>
          <w:sz w:val="24"/>
          <w:szCs w:val="24"/>
        </w:rPr>
        <w:t>many adults have been registered with single use plastics which results in a higher spend per patient.</w:t>
      </w:r>
    </w:p>
    <w:p w14:paraId="3229F53B" w14:textId="77777777" w:rsidR="00C062D0" w:rsidRPr="000346B0" w:rsidRDefault="00C062D0" w:rsidP="00C062D0">
      <w:pPr>
        <w:rPr>
          <w:rFonts w:ascii="Arial" w:hAnsi="Arial" w:cs="Arial"/>
          <w:color w:val="000000" w:themeColor="text1"/>
          <w:sz w:val="24"/>
          <w:szCs w:val="24"/>
        </w:rPr>
      </w:pPr>
    </w:p>
    <w:p w14:paraId="4086C186" w14:textId="77777777" w:rsidR="00953729" w:rsidRPr="000346B0" w:rsidRDefault="00086C07" w:rsidP="00953729">
      <w:pPr>
        <w:pStyle w:val="Heading2"/>
        <w:rPr>
          <w:rFonts w:ascii="Arial" w:hAnsi="Arial" w:cs="Arial"/>
          <w:color w:val="000000" w:themeColor="text1"/>
          <w:sz w:val="24"/>
          <w:szCs w:val="24"/>
        </w:rPr>
      </w:pPr>
      <w:bookmarkStart w:id="1" w:name="_Hlk109314001"/>
      <w:r w:rsidRPr="000346B0">
        <w:rPr>
          <w:rFonts w:ascii="Arial" w:hAnsi="Arial" w:cs="Arial"/>
          <w:color w:val="000000" w:themeColor="text1"/>
          <w:sz w:val="24"/>
          <w:szCs w:val="24"/>
        </w:rPr>
        <w:t xml:space="preserve">Topic Area </w:t>
      </w:r>
      <w:bookmarkEnd w:id="1"/>
    </w:p>
    <w:p w14:paraId="1F005F04" w14:textId="40E87103" w:rsidR="00086C07" w:rsidRPr="000346B0" w:rsidRDefault="00086C07" w:rsidP="00953729">
      <w:pPr>
        <w:pStyle w:val="Heading2"/>
        <w:rPr>
          <w:rStyle w:val="Strong"/>
          <w:rFonts w:ascii="Arial" w:hAnsi="Arial" w:cs="Arial"/>
          <w:b w:val="0"/>
          <w:bCs w:val="0"/>
          <w:color w:val="000000" w:themeColor="text1"/>
          <w:sz w:val="24"/>
          <w:szCs w:val="24"/>
          <w:lang w:val="en-US"/>
        </w:rPr>
      </w:pPr>
      <w:r w:rsidRPr="000346B0">
        <w:rPr>
          <w:rStyle w:val="Strong"/>
          <w:rFonts w:ascii="Arial" w:hAnsi="Arial" w:cs="Arial"/>
          <w:b w:val="0"/>
          <w:bCs w:val="0"/>
          <w:color w:val="000000" w:themeColor="text1"/>
          <w:sz w:val="24"/>
          <w:szCs w:val="24"/>
          <w:lang w:val="en-US"/>
        </w:rPr>
        <w:t xml:space="preserve">Please </w:t>
      </w:r>
      <w:bookmarkStart w:id="2" w:name="_Hlk109313816"/>
      <w:r w:rsidRPr="000346B0">
        <w:rPr>
          <w:rStyle w:val="Strong"/>
          <w:rFonts w:ascii="Arial" w:hAnsi="Arial" w:cs="Arial"/>
          <w:b w:val="0"/>
          <w:bCs w:val="0"/>
          <w:color w:val="000000" w:themeColor="text1"/>
          <w:sz w:val="24"/>
          <w:szCs w:val="24"/>
          <w:lang w:val="en-US"/>
        </w:rPr>
        <w:t xml:space="preserve">identify </w:t>
      </w:r>
      <w:r w:rsidR="009E3E90" w:rsidRPr="000346B0">
        <w:rPr>
          <w:rStyle w:val="Strong"/>
          <w:rFonts w:ascii="Arial" w:hAnsi="Arial" w:cs="Arial"/>
          <w:b w:val="0"/>
          <w:bCs w:val="0"/>
          <w:color w:val="000000" w:themeColor="text1"/>
          <w:sz w:val="24"/>
          <w:szCs w:val="24"/>
          <w:lang w:val="en-US"/>
        </w:rPr>
        <w:t>(</w:t>
      </w:r>
      <w:r w:rsidRPr="000346B0">
        <w:rPr>
          <w:rStyle w:val="Strong"/>
          <w:rFonts w:ascii="Arial" w:hAnsi="Arial" w:cs="Arial"/>
          <w:b w:val="0"/>
          <w:bCs w:val="0"/>
          <w:color w:val="000000" w:themeColor="text1"/>
          <w:sz w:val="24"/>
          <w:szCs w:val="24"/>
          <w:lang w:val="en-US"/>
        </w:rPr>
        <w:t>more than one option may be selected</w:t>
      </w:r>
      <w:bookmarkEnd w:id="2"/>
      <w:r w:rsidR="009E3E90" w:rsidRPr="000346B0">
        <w:rPr>
          <w:rStyle w:val="Strong"/>
          <w:rFonts w:ascii="Arial" w:hAnsi="Arial" w:cs="Arial"/>
          <w:b w:val="0"/>
          <w:bCs w:val="0"/>
          <w:color w:val="000000" w:themeColor="text1"/>
          <w:sz w:val="24"/>
          <w:szCs w:val="24"/>
          <w:lang w:val="en-US"/>
        </w:rPr>
        <w:t>)</w:t>
      </w:r>
    </w:p>
    <w:p w14:paraId="304458E2" w14:textId="77777777" w:rsidR="00953729" w:rsidRPr="000346B0" w:rsidRDefault="00953729" w:rsidP="00953729">
      <w:pPr>
        <w:rPr>
          <w:rFonts w:ascii="Arial" w:hAnsi="Arial" w:cs="Arial"/>
          <w:color w:val="000000" w:themeColor="text1"/>
          <w:sz w:val="24"/>
          <w:szCs w:val="24"/>
          <w:lang w:val="en-US"/>
        </w:rPr>
      </w:pPr>
    </w:p>
    <w:tbl>
      <w:tblPr>
        <w:tblStyle w:val="TableGrid"/>
        <w:tblW w:w="9781" w:type="dxa"/>
        <w:jc w:val="center"/>
        <w:tblLayout w:type="fixed"/>
        <w:tblLook w:val="04A0" w:firstRow="1" w:lastRow="0" w:firstColumn="1" w:lastColumn="0" w:noHBand="0" w:noVBand="1"/>
      </w:tblPr>
      <w:tblGrid>
        <w:gridCol w:w="1985"/>
        <w:gridCol w:w="428"/>
        <w:gridCol w:w="1982"/>
        <w:gridCol w:w="427"/>
        <w:gridCol w:w="1982"/>
        <w:gridCol w:w="426"/>
        <w:gridCol w:w="2126"/>
        <w:gridCol w:w="425"/>
      </w:tblGrid>
      <w:tr w:rsidR="00343A78" w:rsidRPr="000346B0" w14:paraId="7CE9CD59" w14:textId="77777777" w:rsidTr="00953729">
        <w:trPr>
          <w:trHeight w:val="337"/>
          <w:jc w:val="center"/>
        </w:trPr>
        <w:tc>
          <w:tcPr>
            <w:tcW w:w="1985" w:type="dxa"/>
            <w:tcBorders>
              <w:right w:val="nil"/>
            </w:tcBorders>
            <w:shd w:val="clear" w:color="auto" w:fill="E5EAEF"/>
            <w:vAlign w:val="center"/>
          </w:tcPr>
          <w:p w14:paraId="6C49E68E" w14:textId="77777777" w:rsidR="00086C07" w:rsidRPr="000346B0" w:rsidRDefault="00086C07" w:rsidP="00C76E90">
            <w:pPr>
              <w:pStyle w:val="Headinglevelthree"/>
              <w:tabs>
                <w:tab w:val="center" w:pos="1514"/>
              </w:tabs>
              <w:spacing w:after="0"/>
              <w:rPr>
                <w:rFonts w:ascii="Arial" w:hAnsi="Arial" w:cs="Arial"/>
                <w:color w:val="000000" w:themeColor="text1"/>
                <w:lang w:val="en-GB"/>
              </w:rPr>
            </w:pPr>
            <w:r w:rsidRPr="000346B0">
              <w:rPr>
                <w:rFonts w:ascii="Arial" w:hAnsi="Arial" w:cs="Arial"/>
                <w:color w:val="000000" w:themeColor="text1"/>
                <w:lang w:val="en-GB"/>
              </w:rPr>
              <w:t>A</w:t>
            </w:r>
            <w:r w:rsidRPr="000346B0">
              <w:rPr>
                <w:rFonts w:ascii="Arial" w:hAnsi="Arial" w:cs="Arial"/>
                <w:color w:val="000000" w:themeColor="text1"/>
              </w:rPr>
              <w:t>daptation</w:t>
            </w:r>
          </w:p>
        </w:tc>
        <w:sdt>
          <w:sdtPr>
            <w:rPr>
              <w:rFonts w:ascii="Arial" w:hAnsi="Arial" w:cs="Arial"/>
              <w:color w:val="000000" w:themeColor="text1"/>
              <w:lang w:val="en-GB"/>
            </w:rPr>
            <w:id w:val="-1178572398"/>
            <w14:checkbox>
              <w14:checked w14:val="0"/>
              <w14:checkedState w14:val="2612" w14:font="MS Gothic"/>
              <w14:uncheckedState w14:val="2610" w14:font="MS Gothic"/>
            </w14:checkbox>
          </w:sdtPr>
          <w:sdtEndPr/>
          <w:sdtContent>
            <w:tc>
              <w:tcPr>
                <w:tcW w:w="428" w:type="dxa"/>
                <w:tcBorders>
                  <w:left w:val="nil"/>
                  <w:bottom w:val="single" w:sz="4" w:space="0" w:color="auto"/>
                </w:tcBorders>
                <w:shd w:val="clear" w:color="auto" w:fill="E5EAEF"/>
                <w:vAlign w:val="center"/>
              </w:tcPr>
              <w:p w14:paraId="6A1EC813" w14:textId="77777777" w:rsidR="00086C07" w:rsidRPr="000346B0" w:rsidRDefault="00086C07" w:rsidP="00C76E90">
                <w:pPr>
                  <w:pStyle w:val="Headinglevelthree"/>
                  <w:tabs>
                    <w:tab w:val="center" w:pos="1514"/>
                  </w:tabs>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39EE6FB9" w14:textId="77777777" w:rsidR="00086C07" w:rsidRPr="000346B0" w:rsidRDefault="00086C07" w:rsidP="00C76E90">
            <w:pPr>
              <w:pStyle w:val="Headinglevelthree"/>
              <w:tabs>
                <w:tab w:val="center" w:pos="1514"/>
              </w:tabs>
              <w:spacing w:after="0"/>
              <w:rPr>
                <w:rFonts w:ascii="Arial" w:hAnsi="Arial" w:cs="Arial"/>
                <w:color w:val="000000" w:themeColor="text1"/>
                <w:lang w:val="en-GB"/>
              </w:rPr>
            </w:pPr>
            <w:r w:rsidRPr="000346B0">
              <w:rPr>
                <w:rFonts w:ascii="Arial" w:hAnsi="Arial" w:cs="Arial"/>
                <w:color w:val="000000" w:themeColor="text1"/>
                <w:lang w:val="en-GB"/>
              </w:rPr>
              <w:t>C</w:t>
            </w:r>
            <w:r w:rsidRPr="000346B0">
              <w:rPr>
                <w:rFonts w:ascii="Arial" w:hAnsi="Arial" w:cs="Arial"/>
                <w:color w:val="000000" w:themeColor="text1"/>
              </w:rPr>
              <w:t>ommunications and engagement</w:t>
            </w:r>
            <w:r w:rsidRPr="000346B0">
              <w:rPr>
                <w:rFonts w:ascii="Arial" w:hAnsi="Arial" w:cs="Arial"/>
                <w:color w:val="000000" w:themeColor="text1"/>
                <w:lang w:val="en-GB"/>
              </w:rPr>
              <w:t xml:space="preserve"> </w:t>
            </w:r>
          </w:p>
        </w:tc>
        <w:sdt>
          <w:sdtPr>
            <w:rPr>
              <w:rFonts w:ascii="Arial" w:hAnsi="Arial" w:cs="Arial"/>
              <w:color w:val="000000" w:themeColor="text1"/>
              <w:lang w:val="en-GB"/>
            </w:rPr>
            <w:id w:val="1162738064"/>
            <w14:checkbox>
              <w14:checked w14:val="1"/>
              <w14:checkedState w14:val="2612" w14:font="MS Gothic"/>
              <w14:uncheckedState w14:val="2610" w14:font="MS Gothic"/>
            </w14:checkbox>
          </w:sdtPr>
          <w:sdtEndPr/>
          <w:sdtContent>
            <w:tc>
              <w:tcPr>
                <w:tcW w:w="427" w:type="dxa"/>
                <w:tcBorders>
                  <w:left w:val="nil"/>
                </w:tcBorders>
                <w:shd w:val="clear" w:color="auto" w:fill="E5EAEF"/>
                <w:vAlign w:val="center"/>
              </w:tcPr>
              <w:p w14:paraId="0B40D87D" w14:textId="300BF20B" w:rsidR="00086C07" w:rsidRPr="000346B0" w:rsidRDefault="001639EC" w:rsidP="00C76E90">
                <w:pPr>
                  <w:pStyle w:val="Headinglevelthree"/>
                  <w:tabs>
                    <w:tab w:val="center" w:pos="1514"/>
                  </w:tabs>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51BDE370" w14:textId="5190D23A" w:rsidR="00086C07" w:rsidRPr="000346B0" w:rsidRDefault="00086C07" w:rsidP="00C76E90">
            <w:pPr>
              <w:pStyle w:val="Headinglevelthree"/>
              <w:tabs>
                <w:tab w:val="center" w:pos="1514"/>
              </w:tabs>
              <w:spacing w:after="0"/>
              <w:rPr>
                <w:rFonts w:ascii="Arial" w:hAnsi="Arial" w:cs="Arial"/>
                <w:color w:val="000000" w:themeColor="text1"/>
                <w:lang w:val="en-GB"/>
              </w:rPr>
            </w:pPr>
            <w:r w:rsidRPr="000346B0">
              <w:rPr>
                <w:rFonts w:ascii="Arial" w:hAnsi="Arial" w:cs="Arial"/>
                <w:color w:val="000000" w:themeColor="text1"/>
                <w:lang w:val="en-GB"/>
              </w:rPr>
              <w:t>Estates and facilities (energy, waste,</w:t>
            </w:r>
            <w:r w:rsidR="0076466F" w:rsidRPr="000346B0">
              <w:rPr>
                <w:rFonts w:ascii="Arial" w:hAnsi="Arial" w:cs="Arial"/>
                <w:color w:val="000000" w:themeColor="text1"/>
                <w:lang w:val="en-GB"/>
              </w:rPr>
              <w:t xml:space="preserve"> </w:t>
            </w:r>
            <w:r w:rsidRPr="000346B0">
              <w:rPr>
                <w:rFonts w:ascii="Arial" w:hAnsi="Arial" w:cs="Arial"/>
                <w:color w:val="000000" w:themeColor="text1"/>
                <w:lang w:val="en-GB"/>
              </w:rPr>
              <w:t>water)</w:t>
            </w:r>
          </w:p>
        </w:tc>
        <w:sdt>
          <w:sdtPr>
            <w:rPr>
              <w:rFonts w:ascii="Arial" w:hAnsi="Arial" w:cs="Arial"/>
              <w:color w:val="000000" w:themeColor="text1"/>
              <w:lang w:val="en-GB"/>
            </w:rPr>
            <w:id w:val="1939952802"/>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7CCB2A15" w14:textId="77777777" w:rsidR="00086C07" w:rsidRPr="000346B0" w:rsidRDefault="00086C07" w:rsidP="00C76E90">
                <w:pPr>
                  <w:pStyle w:val="Headinglevelthree"/>
                  <w:tabs>
                    <w:tab w:val="center" w:pos="1514"/>
                  </w:tabs>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2126" w:type="dxa"/>
            <w:tcBorders>
              <w:right w:val="nil"/>
            </w:tcBorders>
            <w:shd w:val="clear" w:color="auto" w:fill="E5EAEF"/>
            <w:vAlign w:val="center"/>
          </w:tcPr>
          <w:p w14:paraId="191A6523"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Food, catering </w:t>
            </w:r>
          </w:p>
          <w:p w14:paraId="24A6ACC9"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and nutrition </w:t>
            </w:r>
          </w:p>
        </w:tc>
        <w:sdt>
          <w:sdtPr>
            <w:rPr>
              <w:rFonts w:ascii="Arial" w:hAnsi="Arial" w:cs="Arial"/>
              <w:color w:val="000000" w:themeColor="text1"/>
              <w:lang w:val="en-GB"/>
            </w:rPr>
            <w:id w:val="736742140"/>
            <w14:checkbox>
              <w14:checked w14:val="0"/>
              <w14:checkedState w14:val="2612" w14:font="MS Gothic"/>
              <w14:uncheckedState w14:val="2610" w14:font="MS Gothic"/>
            </w14:checkbox>
          </w:sdtPr>
          <w:sdtEndPr/>
          <w:sdtContent>
            <w:tc>
              <w:tcPr>
                <w:tcW w:w="425" w:type="dxa"/>
                <w:tcBorders>
                  <w:left w:val="nil"/>
                </w:tcBorders>
                <w:shd w:val="clear" w:color="auto" w:fill="E5EAEF"/>
                <w:vAlign w:val="center"/>
              </w:tcPr>
              <w:p w14:paraId="293F4FEC"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r>
      <w:tr w:rsidR="00343A78" w:rsidRPr="000346B0" w14:paraId="3C75F20B" w14:textId="77777777" w:rsidTr="00953729">
        <w:trPr>
          <w:trHeight w:val="337"/>
          <w:jc w:val="center"/>
        </w:trPr>
        <w:tc>
          <w:tcPr>
            <w:tcW w:w="1985" w:type="dxa"/>
            <w:tcBorders>
              <w:right w:val="nil"/>
            </w:tcBorders>
            <w:shd w:val="clear" w:color="auto" w:fill="E5EAEF"/>
            <w:vAlign w:val="center"/>
          </w:tcPr>
          <w:p w14:paraId="3077CD83"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Funding and </w:t>
            </w:r>
          </w:p>
          <w:p w14:paraId="7F13EFEE"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financial mechanisms </w:t>
            </w:r>
          </w:p>
        </w:tc>
        <w:sdt>
          <w:sdtPr>
            <w:rPr>
              <w:rFonts w:ascii="Arial" w:hAnsi="Arial" w:cs="Arial"/>
              <w:color w:val="000000" w:themeColor="text1"/>
              <w:lang w:val="en-GB"/>
            </w:rPr>
            <w:id w:val="1683465612"/>
            <w14:checkbox>
              <w14:checked w14:val="0"/>
              <w14:checkedState w14:val="2612" w14:font="MS Gothic"/>
              <w14:uncheckedState w14:val="2610" w14:font="MS Gothic"/>
            </w14:checkbox>
          </w:sdtPr>
          <w:sdtEndPr/>
          <w:sdtContent>
            <w:tc>
              <w:tcPr>
                <w:tcW w:w="428" w:type="dxa"/>
                <w:tcBorders>
                  <w:left w:val="nil"/>
                </w:tcBorders>
                <w:shd w:val="clear" w:color="auto" w:fill="E5EAEF"/>
                <w:vAlign w:val="center"/>
              </w:tcPr>
              <w:p w14:paraId="3AE87965"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0385DBF5"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Medicines</w:t>
            </w:r>
          </w:p>
        </w:tc>
        <w:sdt>
          <w:sdtPr>
            <w:rPr>
              <w:rFonts w:ascii="Arial" w:hAnsi="Arial" w:cs="Arial"/>
              <w:color w:val="000000" w:themeColor="text1"/>
              <w:lang w:val="en-GB"/>
            </w:rPr>
            <w:id w:val="-1985383529"/>
            <w14:checkbox>
              <w14:checked w14:val="0"/>
              <w14:checkedState w14:val="2612" w14:font="MS Gothic"/>
              <w14:uncheckedState w14:val="2610" w14:font="MS Gothic"/>
            </w14:checkbox>
          </w:sdtPr>
          <w:sdtEndPr/>
          <w:sdtContent>
            <w:tc>
              <w:tcPr>
                <w:tcW w:w="427" w:type="dxa"/>
                <w:tcBorders>
                  <w:left w:val="nil"/>
                </w:tcBorders>
                <w:shd w:val="clear" w:color="auto" w:fill="E5EAEF"/>
                <w:vAlign w:val="center"/>
              </w:tcPr>
              <w:p w14:paraId="4153E553"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4A917825"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Research, innovation and offsetting</w:t>
            </w:r>
          </w:p>
        </w:tc>
        <w:sdt>
          <w:sdtPr>
            <w:rPr>
              <w:rFonts w:ascii="Arial" w:hAnsi="Arial" w:cs="Arial"/>
              <w:color w:val="000000" w:themeColor="text1"/>
              <w:lang w:val="en-GB"/>
            </w:rPr>
            <w:id w:val="-1124922805"/>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49BAF8DC"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2126" w:type="dxa"/>
            <w:tcBorders>
              <w:right w:val="nil"/>
            </w:tcBorders>
            <w:shd w:val="clear" w:color="auto" w:fill="E5EAEF"/>
            <w:vAlign w:val="center"/>
          </w:tcPr>
          <w:p w14:paraId="24E9EC76"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Strategic ambition </w:t>
            </w:r>
          </w:p>
        </w:tc>
        <w:sdt>
          <w:sdtPr>
            <w:rPr>
              <w:rFonts w:ascii="Arial" w:hAnsi="Arial" w:cs="Arial"/>
              <w:color w:val="000000" w:themeColor="text1"/>
              <w:lang w:val="en-GB"/>
            </w:rPr>
            <w:id w:val="411595373"/>
            <w14:checkbox>
              <w14:checked w14:val="1"/>
              <w14:checkedState w14:val="2612" w14:font="MS Gothic"/>
              <w14:uncheckedState w14:val="2610" w14:font="MS Gothic"/>
            </w14:checkbox>
          </w:sdtPr>
          <w:sdtEndPr/>
          <w:sdtContent>
            <w:tc>
              <w:tcPr>
                <w:tcW w:w="425" w:type="dxa"/>
                <w:tcBorders>
                  <w:left w:val="nil"/>
                </w:tcBorders>
                <w:shd w:val="clear" w:color="auto" w:fill="E5EAEF"/>
                <w:vAlign w:val="center"/>
              </w:tcPr>
              <w:p w14:paraId="3D212ADB" w14:textId="43D09E62" w:rsidR="00086C07" w:rsidRPr="000346B0" w:rsidRDefault="001639EC"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r>
      <w:tr w:rsidR="00343A78" w:rsidRPr="000346B0" w14:paraId="76590A0D" w14:textId="77777777" w:rsidTr="00953729">
        <w:trPr>
          <w:trHeight w:val="337"/>
          <w:jc w:val="center"/>
        </w:trPr>
        <w:tc>
          <w:tcPr>
            <w:tcW w:w="1985" w:type="dxa"/>
            <w:tcBorders>
              <w:right w:val="nil"/>
            </w:tcBorders>
            <w:shd w:val="clear" w:color="auto" w:fill="E5EAEF"/>
            <w:vAlign w:val="center"/>
          </w:tcPr>
          <w:p w14:paraId="13D36BB6" w14:textId="77777777" w:rsidR="00086C07" w:rsidRPr="000346B0" w:rsidRDefault="00086C07" w:rsidP="00C76E90">
            <w:pPr>
              <w:pStyle w:val="Headinglevelthree"/>
              <w:spacing w:after="0"/>
              <w:rPr>
                <w:rFonts w:ascii="Arial" w:hAnsi="Arial" w:cs="Arial"/>
                <w:color w:val="000000" w:themeColor="text1"/>
                <w:lang w:val="en-GB"/>
              </w:rPr>
            </w:pPr>
            <w:bookmarkStart w:id="3" w:name="_Hlk104888476"/>
            <w:r w:rsidRPr="000346B0">
              <w:rPr>
                <w:rFonts w:ascii="Arial" w:hAnsi="Arial" w:cs="Arial"/>
                <w:color w:val="000000" w:themeColor="text1"/>
                <w:lang w:val="en-GB"/>
              </w:rPr>
              <w:t>Supply chain and procurement</w:t>
            </w:r>
          </w:p>
        </w:tc>
        <w:sdt>
          <w:sdtPr>
            <w:rPr>
              <w:rFonts w:ascii="Arial" w:hAnsi="Arial" w:cs="Arial"/>
              <w:color w:val="000000" w:themeColor="text1"/>
              <w:lang w:val="en-GB"/>
            </w:rPr>
            <w:id w:val="1184554173"/>
            <w14:checkbox>
              <w14:checked w14:val="0"/>
              <w14:checkedState w14:val="2612" w14:font="MS Gothic"/>
              <w14:uncheckedState w14:val="2610" w14:font="MS Gothic"/>
            </w14:checkbox>
          </w:sdtPr>
          <w:sdtEndPr/>
          <w:sdtContent>
            <w:tc>
              <w:tcPr>
                <w:tcW w:w="428" w:type="dxa"/>
                <w:tcBorders>
                  <w:left w:val="nil"/>
                </w:tcBorders>
                <w:shd w:val="clear" w:color="auto" w:fill="E5EAEF"/>
                <w:vAlign w:val="center"/>
              </w:tcPr>
              <w:p w14:paraId="30D7E52F"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657FFB29"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Sustainable </w:t>
            </w:r>
          </w:p>
          <w:p w14:paraId="79D351D9"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models of care</w:t>
            </w:r>
          </w:p>
        </w:tc>
        <w:sdt>
          <w:sdtPr>
            <w:rPr>
              <w:rFonts w:ascii="Arial" w:hAnsi="Arial" w:cs="Arial"/>
              <w:color w:val="000000" w:themeColor="text1"/>
              <w:lang w:val="en-GB"/>
            </w:rPr>
            <w:id w:val="289634679"/>
            <w14:checkbox>
              <w14:checked w14:val="1"/>
              <w14:checkedState w14:val="2612" w14:font="MS Gothic"/>
              <w14:uncheckedState w14:val="2610" w14:font="MS Gothic"/>
            </w14:checkbox>
          </w:sdtPr>
          <w:sdtEndPr/>
          <w:sdtContent>
            <w:tc>
              <w:tcPr>
                <w:tcW w:w="427" w:type="dxa"/>
                <w:tcBorders>
                  <w:left w:val="nil"/>
                </w:tcBorders>
                <w:shd w:val="clear" w:color="auto" w:fill="E5EAEF"/>
                <w:vAlign w:val="center"/>
              </w:tcPr>
              <w:p w14:paraId="3AF7D8A2" w14:textId="2D880267" w:rsidR="00086C07" w:rsidRPr="000346B0" w:rsidRDefault="001639EC"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shd w:val="clear" w:color="auto" w:fill="E5EAEF"/>
            <w:vAlign w:val="center"/>
          </w:tcPr>
          <w:p w14:paraId="513EA0C8"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Travel and transport</w:t>
            </w:r>
          </w:p>
        </w:tc>
        <w:sdt>
          <w:sdtPr>
            <w:rPr>
              <w:rFonts w:ascii="Arial" w:hAnsi="Arial" w:cs="Arial"/>
              <w:color w:val="000000" w:themeColor="text1"/>
              <w:lang w:val="en-GB"/>
            </w:rPr>
            <w:id w:val="849764594"/>
            <w14:checkbox>
              <w14:checked w14:val="0"/>
              <w14:checkedState w14:val="2612" w14:font="MS Gothic"/>
              <w14:uncheckedState w14:val="2610" w14:font="MS Gothic"/>
            </w14:checkbox>
          </w:sdtPr>
          <w:sdtEndPr/>
          <w:sdtContent>
            <w:tc>
              <w:tcPr>
                <w:tcW w:w="426" w:type="dxa"/>
                <w:tcBorders>
                  <w:left w:val="nil"/>
                </w:tcBorders>
                <w:shd w:val="clear" w:color="auto" w:fill="E5EAEF"/>
                <w:vAlign w:val="center"/>
              </w:tcPr>
              <w:p w14:paraId="6AAB0201"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2126" w:type="dxa"/>
            <w:tcBorders>
              <w:right w:val="nil"/>
            </w:tcBorders>
            <w:shd w:val="clear" w:color="auto" w:fill="E5EAEF"/>
            <w:vAlign w:val="center"/>
          </w:tcPr>
          <w:p w14:paraId="3D78C90A"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Workforce, networks and system leadership</w:t>
            </w:r>
          </w:p>
        </w:tc>
        <w:sdt>
          <w:sdtPr>
            <w:rPr>
              <w:rFonts w:ascii="Arial" w:hAnsi="Arial" w:cs="Arial"/>
              <w:color w:val="000000" w:themeColor="text1"/>
              <w:lang w:val="en-GB"/>
            </w:rPr>
            <w:id w:val="2131899052"/>
            <w14:checkbox>
              <w14:checked w14:val="0"/>
              <w14:checkedState w14:val="2612" w14:font="MS Gothic"/>
              <w14:uncheckedState w14:val="2610" w14:font="MS Gothic"/>
            </w14:checkbox>
          </w:sdtPr>
          <w:sdtEndPr/>
          <w:sdtContent>
            <w:tc>
              <w:tcPr>
                <w:tcW w:w="425" w:type="dxa"/>
                <w:tcBorders>
                  <w:left w:val="nil"/>
                </w:tcBorders>
                <w:shd w:val="clear" w:color="auto" w:fill="E5EAEF"/>
                <w:vAlign w:val="center"/>
              </w:tcPr>
              <w:p w14:paraId="5DC554F4"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r>
      <w:bookmarkEnd w:id="3"/>
      <w:tr w:rsidR="00343A78" w:rsidRPr="000346B0" w14:paraId="65C21788" w14:textId="77777777" w:rsidTr="00953729">
        <w:trPr>
          <w:trHeight w:val="337"/>
          <w:jc w:val="center"/>
        </w:trPr>
        <w:tc>
          <w:tcPr>
            <w:tcW w:w="1985" w:type="dxa"/>
            <w:tcBorders>
              <w:right w:val="nil"/>
            </w:tcBorders>
            <w:vAlign w:val="center"/>
          </w:tcPr>
          <w:p w14:paraId="50E386C3"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Green/blue space and biodiversity</w:t>
            </w:r>
          </w:p>
        </w:tc>
        <w:sdt>
          <w:sdtPr>
            <w:rPr>
              <w:rFonts w:ascii="Arial" w:hAnsi="Arial" w:cs="Arial"/>
              <w:color w:val="000000" w:themeColor="text1"/>
              <w:lang w:val="en-GB"/>
            </w:rPr>
            <w:id w:val="-406925187"/>
            <w14:checkbox>
              <w14:checked w14:val="0"/>
              <w14:checkedState w14:val="2612" w14:font="MS Gothic"/>
              <w14:uncheckedState w14:val="2610" w14:font="MS Gothic"/>
            </w14:checkbox>
          </w:sdtPr>
          <w:sdtEndPr/>
          <w:sdtContent>
            <w:tc>
              <w:tcPr>
                <w:tcW w:w="428" w:type="dxa"/>
                <w:tcBorders>
                  <w:left w:val="nil"/>
                </w:tcBorders>
                <w:vAlign w:val="center"/>
              </w:tcPr>
              <w:p w14:paraId="43B5D25D"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Segoe UI Symbol" w:eastAsia="MS Gothic" w:hAnsi="Segoe UI Symbol" w:cs="Segoe UI Symbol"/>
                    <w:color w:val="000000" w:themeColor="text1"/>
                    <w:lang w:val="en-GB"/>
                  </w:rPr>
                  <w:t>☐</w:t>
                </w:r>
              </w:p>
            </w:tc>
          </w:sdtContent>
        </w:sdt>
        <w:tc>
          <w:tcPr>
            <w:tcW w:w="1982" w:type="dxa"/>
            <w:tcBorders>
              <w:right w:val="nil"/>
            </w:tcBorders>
            <w:vAlign w:val="center"/>
          </w:tcPr>
          <w:p w14:paraId="3154065D"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Digital transformation</w:t>
            </w:r>
          </w:p>
        </w:tc>
        <w:tc>
          <w:tcPr>
            <w:tcW w:w="427" w:type="dxa"/>
            <w:tcBorders>
              <w:left w:val="nil"/>
            </w:tcBorders>
            <w:vAlign w:val="center"/>
          </w:tcPr>
          <w:p w14:paraId="7F84E9AF" w14:textId="77777777" w:rsidR="00086C07" w:rsidRPr="000346B0" w:rsidRDefault="00D6024E" w:rsidP="00C76E90">
            <w:pPr>
              <w:pStyle w:val="Headinglevelthree"/>
              <w:spacing w:after="0"/>
              <w:rPr>
                <w:rFonts w:ascii="Arial" w:hAnsi="Arial" w:cs="Arial"/>
                <w:color w:val="000000" w:themeColor="text1"/>
                <w:lang w:val="en-GB"/>
              </w:rPr>
            </w:pPr>
            <w:sdt>
              <w:sdtPr>
                <w:rPr>
                  <w:rFonts w:ascii="Arial" w:hAnsi="Arial" w:cs="Arial"/>
                  <w:color w:val="000000" w:themeColor="text1"/>
                  <w:lang w:val="en-GB"/>
                </w:rPr>
                <w:id w:val="-744033895"/>
                <w14:checkbox>
                  <w14:checked w14:val="0"/>
                  <w14:checkedState w14:val="2612" w14:font="MS Gothic"/>
                  <w14:uncheckedState w14:val="2610" w14:font="MS Gothic"/>
                </w14:checkbox>
              </w:sdtPr>
              <w:sdtEndPr/>
              <w:sdtContent>
                <w:r w:rsidR="00086C07" w:rsidRPr="000346B0">
                  <w:rPr>
                    <w:rFonts w:ascii="Segoe UI Symbol" w:eastAsia="MS Gothic" w:hAnsi="Segoe UI Symbol" w:cs="Segoe UI Symbol"/>
                    <w:color w:val="000000" w:themeColor="text1"/>
                    <w:lang w:val="en-GB"/>
                  </w:rPr>
                  <w:t>☐</w:t>
                </w:r>
              </w:sdtContent>
            </w:sdt>
          </w:p>
        </w:tc>
        <w:tc>
          <w:tcPr>
            <w:tcW w:w="1982" w:type="dxa"/>
            <w:tcBorders>
              <w:right w:val="nil"/>
            </w:tcBorders>
            <w:vAlign w:val="center"/>
          </w:tcPr>
          <w:p w14:paraId="2905DEDA"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Sustainability education</w:t>
            </w:r>
          </w:p>
        </w:tc>
        <w:tc>
          <w:tcPr>
            <w:tcW w:w="426" w:type="dxa"/>
            <w:tcBorders>
              <w:left w:val="nil"/>
            </w:tcBorders>
            <w:vAlign w:val="center"/>
          </w:tcPr>
          <w:p w14:paraId="614329D5" w14:textId="2CFD4372" w:rsidR="00086C07" w:rsidRPr="000346B0" w:rsidRDefault="00D6024E" w:rsidP="00C76E90">
            <w:pPr>
              <w:pStyle w:val="Headinglevelthree"/>
              <w:spacing w:after="0"/>
              <w:rPr>
                <w:rFonts w:ascii="Arial" w:hAnsi="Arial" w:cs="Arial"/>
                <w:color w:val="000000" w:themeColor="text1"/>
                <w:lang w:val="en-GB"/>
              </w:rPr>
            </w:pPr>
            <w:sdt>
              <w:sdtPr>
                <w:rPr>
                  <w:rFonts w:ascii="Arial" w:hAnsi="Arial" w:cs="Arial"/>
                  <w:color w:val="000000" w:themeColor="text1"/>
                  <w:lang w:val="en-GB"/>
                </w:rPr>
                <w:id w:val="1593354838"/>
                <w14:checkbox>
                  <w14:checked w14:val="1"/>
                  <w14:checkedState w14:val="2612" w14:font="MS Gothic"/>
                  <w14:uncheckedState w14:val="2610" w14:font="MS Gothic"/>
                </w14:checkbox>
              </w:sdtPr>
              <w:sdtEndPr/>
              <w:sdtContent>
                <w:r w:rsidR="001639EC" w:rsidRPr="000346B0">
                  <w:rPr>
                    <w:rFonts w:ascii="Segoe UI Symbol" w:eastAsia="MS Gothic" w:hAnsi="Segoe UI Symbol" w:cs="Segoe UI Symbol"/>
                    <w:color w:val="000000" w:themeColor="text1"/>
                    <w:lang w:val="en-GB"/>
                  </w:rPr>
                  <w:t>☒</w:t>
                </w:r>
              </w:sdtContent>
            </w:sdt>
          </w:p>
        </w:tc>
        <w:tc>
          <w:tcPr>
            <w:tcW w:w="2126" w:type="dxa"/>
            <w:tcBorders>
              <w:right w:val="nil"/>
            </w:tcBorders>
            <w:vAlign w:val="center"/>
          </w:tcPr>
          <w:p w14:paraId="68A8CC02" w14:textId="77777777" w:rsidR="00086C07" w:rsidRPr="000346B0" w:rsidRDefault="00086C07" w:rsidP="00C76E90">
            <w:pPr>
              <w:pStyle w:val="Headinglevelthree"/>
              <w:spacing w:after="0"/>
              <w:rPr>
                <w:rFonts w:ascii="Arial" w:hAnsi="Arial" w:cs="Arial"/>
                <w:color w:val="000000" w:themeColor="text1"/>
                <w:lang w:val="en-GB"/>
              </w:rPr>
            </w:pPr>
          </w:p>
        </w:tc>
        <w:tc>
          <w:tcPr>
            <w:tcW w:w="425" w:type="dxa"/>
            <w:tcBorders>
              <w:left w:val="nil"/>
            </w:tcBorders>
            <w:vAlign w:val="center"/>
          </w:tcPr>
          <w:p w14:paraId="2EA75DB1" w14:textId="77777777" w:rsidR="00086C07" w:rsidRPr="000346B0" w:rsidRDefault="00086C07" w:rsidP="00C76E90">
            <w:pPr>
              <w:pStyle w:val="Headinglevelthree"/>
              <w:spacing w:after="0"/>
              <w:rPr>
                <w:rFonts w:ascii="Arial" w:hAnsi="Arial" w:cs="Arial"/>
                <w:color w:val="000000" w:themeColor="text1"/>
                <w:lang w:val="en-GB"/>
              </w:rPr>
            </w:pPr>
          </w:p>
        </w:tc>
      </w:tr>
      <w:tr w:rsidR="00343A78" w:rsidRPr="000346B0" w14:paraId="3EDF39D6" w14:textId="77777777" w:rsidTr="00953729">
        <w:trPr>
          <w:trHeight w:val="337"/>
          <w:jc w:val="center"/>
        </w:trPr>
        <w:tc>
          <w:tcPr>
            <w:tcW w:w="9781" w:type="dxa"/>
            <w:gridSpan w:val="8"/>
            <w:vAlign w:val="center"/>
          </w:tcPr>
          <w:p w14:paraId="620D9A24" w14:textId="77777777" w:rsidR="00086C07" w:rsidRPr="000346B0" w:rsidRDefault="00086C07" w:rsidP="00C76E90">
            <w:pPr>
              <w:pStyle w:val="Headinglevelthree"/>
              <w:spacing w:after="0"/>
              <w:rPr>
                <w:rFonts w:ascii="Arial" w:hAnsi="Arial" w:cs="Arial"/>
                <w:color w:val="000000" w:themeColor="text1"/>
                <w:lang w:val="en-GB"/>
              </w:rPr>
            </w:pPr>
            <w:r w:rsidRPr="000346B0">
              <w:rPr>
                <w:rFonts w:ascii="Arial" w:hAnsi="Arial" w:cs="Arial"/>
                <w:color w:val="000000" w:themeColor="text1"/>
                <w:lang w:val="en-GB"/>
              </w:rPr>
              <w:t xml:space="preserve">Other (please specify): </w:t>
            </w:r>
          </w:p>
        </w:tc>
      </w:tr>
    </w:tbl>
    <w:p w14:paraId="70DDE876" w14:textId="3044B4D6" w:rsidR="00086C07" w:rsidRPr="000346B0" w:rsidRDefault="00953729" w:rsidP="0076466F">
      <w:pPr>
        <w:pStyle w:val="Subtitle"/>
        <w:rPr>
          <w:rStyle w:val="SubtleEmphasis"/>
          <w:rFonts w:ascii="Arial" w:hAnsi="Arial" w:cs="Arial"/>
          <w:color w:val="000000" w:themeColor="text1"/>
          <w:sz w:val="24"/>
          <w:szCs w:val="24"/>
        </w:rPr>
      </w:pPr>
      <w:r w:rsidRPr="000346B0">
        <w:rPr>
          <w:rStyle w:val="SubtleEmphasis"/>
          <w:rFonts w:ascii="Arial" w:hAnsi="Arial" w:cs="Arial"/>
          <w:color w:val="000000" w:themeColor="text1"/>
          <w:sz w:val="24"/>
          <w:szCs w:val="24"/>
        </w:rPr>
        <w:t>*</w:t>
      </w:r>
      <w:r w:rsidR="00086C07" w:rsidRPr="000346B0">
        <w:rPr>
          <w:rStyle w:val="SubtleEmphasis"/>
          <w:rFonts w:ascii="Arial" w:hAnsi="Arial" w:cs="Arial"/>
          <w:color w:val="000000" w:themeColor="text1"/>
          <w:sz w:val="24"/>
          <w:szCs w:val="24"/>
        </w:rPr>
        <w:t>Topics aligned with the 12 Greener NHS workstreams (</w:t>
      </w:r>
      <w:r w:rsidR="00693558" w:rsidRPr="000346B0">
        <w:rPr>
          <w:rStyle w:val="SubtleEmphasis"/>
          <w:rFonts w:ascii="Arial" w:hAnsi="Arial" w:cs="Arial"/>
          <w:color w:val="000000" w:themeColor="text1"/>
          <w:sz w:val="24"/>
          <w:szCs w:val="24"/>
        </w:rPr>
        <w:t xml:space="preserve">NHS </w:t>
      </w:r>
      <w:r w:rsidR="00086C07" w:rsidRPr="000346B0">
        <w:rPr>
          <w:rStyle w:val="SubtleEmphasis"/>
          <w:rFonts w:ascii="Arial" w:hAnsi="Arial" w:cs="Arial"/>
          <w:color w:val="000000" w:themeColor="text1"/>
          <w:sz w:val="24"/>
          <w:szCs w:val="24"/>
        </w:rPr>
        <w:t xml:space="preserve">England) are shaded. </w:t>
      </w:r>
    </w:p>
    <w:p w14:paraId="3EEDBC53" w14:textId="77777777" w:rsidR="00953729" w:rsidRPr="000346B0" w:rsidRDefault="00953729" w:rsidP="0076466F">
      <w:pPr>
        <w:pStyle w:val="Heading2"/>
        <w:rPr>
          <w:rFonts w:ascii="Arial" w:hAnsi="Arial" w:cs="Arial"/>
          <w:color w:val="000000" w:themeColor="text1"/>
          <w:sz w:val="24"/>
          <w:szCs w:val="24"/>
        </w:rPr>
      </w:pPr>
      <w:bookmarkStart w:id="4" w:name="_Hlk109313980"/>
    </w:p>
    <w:p w14:paraId="0C1A11A7" w14:textId="670827DA" w:rsidR="00086C07" w:rsidRPr="000346B0" w:rsidRDefault="00086C07" w:rsidP="0076466F">
      <w:pPr>
        <w:pStyle w:val="Heading2"/>
        <w:rPr>
          <w:rFonts w:ascii="Arial" w:hAnsi="Arial" w:cs="Arial"/>
          <w:b/>
          <w:bCs/>
          <w:color w:val="000000" w:themeColor="text1"/>
          <w:sz w:val="24"/>
          <w:szCs w:val="24"/>
        </w:rPr>
      </w:pPr>
      <w:r w:rsidRPr="000346B0">
        <w:rPr>
          <w:rFonts w:ascii="Arial" w:hAnsi="Arial" w:cs="Arial"/>
          <w:color w:val="000000" w:themeColor="text1"/>
          <w:sz w:val="24"/>
          <w:szCs w:val="24"/>
        </w:rPr>
        <w:t>Key message / aim</w:t>
      </w:r>
    </w:p>
    <w:bookmarkEnd w:id="4"/>
    <w:p w14:paraId="5F23F767" w14:textId="35A6AF26" w:rsidR="00086C07" w:rsidRPr="000346B0" w:rsidRDefault="001639EC" w:rsidP="0076466F">
      <w:pPr>
        <w:rPr>
          <w:rStyle w:val="Strong"/>
          <w:rFonts w:ascii="Arial" w:hAnsi="Arial" w:cs="Arial"/>
          <w:b w:val="0"/>
          <w:bCs w:val="0"/>
          <w:color w:val="000000" w:themeColor="text1"/>
          <w:sz w:val="24"/>
          <w:szCs w:val="24"/>
        </w:rPr>
      </w:pPr>
      <w:r w:rsidRPr="000346B0">
        <w:rPr>
          <w:rFonts w:ascii="Arial" w:hAnsi="Arial" w:cs="Arial"/>
          <w:color w:val="000000" w:themeColor="text1"/>
          <w:sz w:val="24"/>
          <w:szCs w:val="24"/>
        </w:rPr>
        <w:t>To reduce the cost of incorrect ancillaries for adults receiving enteral feeding in NELFT Havering by 5% by September 2018</w:t>
      </w:r>
    </w:p>
    <w:p w14:paraId="31F61C33" w14:textId="4C563E68" w:rsidR="00086C07" w:rsidRPr="000346B0" w:rsidRDefault="00086C07" w:rsidP="0076466F">
      <w:pPr>
        <w:pStyle w:val="Heading2"/>
        <w:rPr>
          <w:rFonts w:ascii="Arial" w:hAnsi="Arial" w:cs="Arial"/>
          <w:color w:val="000000" w:themeColor="text1"/>
          <w:sz w:val="24"/>
          <w:szCs w:val="24"/>
          <w:lang w:eastAsia="en-GB"/>
        </w:rPr>
      </w:pPr>
      <w:bookmarkStart w:id="5" w:name="_Hlk109313991"/>
      <w:r w:rsidRPr="000346B0">
        <w:rPr>
          <w:rFonts w:ascii="Arial" w:hAnsi="Arial" w:cs="Arial"/>
          <w:color w:val="000000" w:themeColor="text1"/>
          <w:sz w:val="24"/>
          <w:szCs w:val="24"/>
          <w:lang w:eastAsia="en-GB"/>
        </w:rPr>
        <w:t xml:space="preserve">What was the problem? </w:t>
      </w:r>
      <w:bookmarkEnd w:id="5"/>
    </w:p>
    <w:p w14:paraId="23A4EBF5" w14:textId="26389CEB" w:rsidR="00A26CAF" w:rsidRPr="000346B0" w:rsidRDefault="001639EC" w:rsidP="0076466F">
      <w:pPr>
        <w:rPr>
          <w:rFonts w:ascii="Arial" w:hAnsi="Arial" w:cs="Arial"/>
          <w:color w:val="000000" w:themeColor="text1"/>
          <w:sz w:val="24"/>
          <w:szCs w:val="24"/>
        </w:rPr>
      </w:pPr>
      <w:r w:rsidRPr="000346B0">
        <w:rPr>
          <w:rFonts w:ascii="Arial" w:hAnsi="Arial" w:cs="Arial"/>
          <w:color w:val="000000" w:themeColor="text1"/>
          <w:sz w:val="24"/>
          <w:szCs w:val="24"/>
        </w:rPr>
        <w:t>Absence of a NELFT Standard of procedure advising the use of multi-use Syringes for patient’s tube fed within the community.</w:t>
      </w:r>
    </w:p>
    <w:p w14:paraId="4DECD6BE" w14:textId="77777777" w:rsidR="001639EC" w:rsidRPr="000346B0" w:rsidRDefault="001639EC" w:rsidP="001639EC">
      <w:pPr>
        <w:rPr>
          <w:rFonts w:ascii="Arial" w:hAnsi="Arial" w:cs="Arial"/>
          <w:color w:val="000000" w:themeColor="text1"/>
          <w:sz w:val="24"/>
          <w:szCs w:val="24"/>
        </w:rPr>
      </w:pPr>
      <w:r w:rsidRPr="000346B0">
        <w:rPr>
          <w:rFonts w:ascii="Arial" w:hAnsi="Arial" w:cs="Arial"/>
          <w:color w:val="000000" w:themeColor="text1"/>
          <w:sz w:val="24"/>
          <w:szCs w:val="24"/>
        </w:rPr>
        <w:t xml:space="preserve">Acute colleagues would arrange for patients to receive single-use syringes during the discharge and registration process. This is in line with hospital policy for infection control purposes.  However, a transfer to multi-use syringes in the community is </w:t>
      </w:r>
      <w:r w:rsidRPr="000346B0">
        <w:rPr>
          <w:rFonts w:ascii="Arial" w:hAnsi="Arial" w:cs="Arial"/>
          <w:color w:val="000000" w:themeColor="text1"/>
          <w:sz w:val="24"/>
          <w:szCs w:val="24"/>
        </w:rPr>
        <w:lastRenderedPageBreak/>
        <w:t>deemed safe and sufficient for most of our adult patients unless a jejunostomy is in situ or the patient is immunocompromised.  A patient transferred over to community with single-use syringes required dietetic funding of approximately ~£170 per year versus an estimated multi-use syringe cost of ~£48 per year.  With almost 300 patients requiring tube feeding across the NELFT boroughs, the potential savings for the service were substantial.</w:t>
      </w:r>
    </w:p>
    <w:p w14:paraId="00B2443F" w14:textId="77777777" w:rsidR="001639EC" w:rsidRPr="000346B0" w:rsidRDefault="001639EC" w:rsidP="0076466F">
      <w:pPr>
        <w:rPr>
          <w:rFonts w:ascii="Arial" w:hAnsi="Arial" w:cs="Arial"/>
          <w:color w:val="000000" w:themeColor="text1"/>
          <w:sz w:val="24"/>
          <w:szCs w:val="24"/>
        </w:rPr>
      </w:pPr>
    </w:p>
    <w:p w14:paraId="49A4A353" w14:textId="77777777" w:rsidR="00086C07" w:rsidRPr="000346B0" w:rsidRDefault="00086C07" w:rsidP="0076466F">
      <w:pPr>
        <w:pStyle w:val="Heading2"/>
        <w:rPr>
          <w:rFonts w:ascii="Arial" w:eastAsia="MS Mincho" w:hAnsi="Arial" w:cs="Arial"/>
          <w:color w:val="000000" w:themeColor="text1"/>
          <w:sz w:val="24"/>
          <w:szCs w:val="24"/>
          <w:lang w:eastAsia="en-GB"/>
        </w:rPr>
      </w:pPr>
      <w:r w:rsidRPr="000346B0">
        <w:rPr>
          <w:rFonts w:ascii="Arial" w:eastAsia="MS Mincho" w:hAnsi="Arial" w:cs="Arial"/>
          <w:color w:val="000000" w:themeColor="text1"/>
          <w:sz w:val="24"/>
          <w:szCs w:val="24"/>
          <w:lang w:eastAsia="en-GB"/>
        </w:rPr>
        <w:t xml:space="preserve">What was the solution? </w:t>
      </w:r>
    </w:p>
    <w:p w14:paraId="0D6CFBFF" w14:textId="734516DE" w:rsidR="001639EC" w:rsidRPr="000346B0" w:rsidRDefault="001639EC" w:rsidP="001639EC">
      <w:pPr>
        <w:rPr>
          <w:rFonts w:ascii="Arial" w:hAnsi="Arial" w:cs="Arial"/>
          <w:i/>
          <w:iCs/>
          <w:color w:val="000000" w:themeColor="text1"/>
          <w:sz w:val="24"/>
          <w:szCs w:val="24"/>
        </w:rPr>
      </w:pPr>
      <w:r w:rsidRPr="000346B0">
        <w:rPr>
          <w:rFonts w:ascii="Arial" w:hAnsi="Arial" w:cs="Arial"/>
          <w:b/>
          <w:bCs/>
          <w:color w:val="000000" w:themeColor="text1"/>
          <w:sz w:val="24"/>
          <w:szCs w:val="24"/>
        </w:rPr>
        <w:t>“Quality Improvement (QI) aims to bring about changes to deliver person centred care that is better, safer, more effective and more efficient using a range of specific tools and methods.”</w:t>
      </w:r>
      <w:r w:rsidRPr="000346B0">
        <w:rPr>
          <w:rFonts w:ascii="Arial" w:hAnsi="Arial" w:cs="Arial"/>
          <w:color w:val="000000" w:themeColor="text1"/>
          <w:sz w:val="24"/>
          <w:szCs w:val="24"/>
        </w:rPr>
        <w:t xml:space="preserve">  </w:t>
      </w:r>
    </w:p>
    <w:p w14:paraId="5C9299E7" w14:textId="173624EF" w:rsidR="001639EC" w:rsidRPr="000346B0" w:rsidRDefault="001639EC" w:rsidP="001639EC">
      <w:pPr>
        <w:rPr>
          <w:rFonts w:ascii="Arial" w:hAnsi="Arial" w:cs="Arial"/>
          <w:color w:val="000000" w:themeColor="text1"/>
          <w:sz w:val="24"/>
          <w:szCs w:val="24"/>
        </w:rPr>
      </w:pPr>
      <w:r w:rsidRPr="000346B0">
        <w:rPr>
          <w:rFonts w:ascii="Arial" w:hAnsi="Arial" w:cs="Arial"/>
          <w:color w:val="000000" w:themeColor="text1"/>
          <w:sz w:val="24"/>
          <w:szCs w:val="24"/>
        </w:rPr>
        <w:t xml:space="preserve">A small number of patients were included within a QI project as part of </w:t>
      </w:r>
      <w:r w:rsidRPr="000346B0">
        <w:rPr>
          <w:rFonts w:ascii="Arial" w:hAnsi="Arial" w:cs="Arial"/>
          <w:b/>
          <w:bCs/>
          <w:color w:val="000000" w:themeColor="text1"/>
          <w:sz w:val="24"/>
          <w:szCs w:val="24"/>
        </w:rPr>
        <w:t>Planning, Doing, Studying, Acting (PDSA)</w:t>
      </w:r>
      <w:r w:rsidRPr="000346B0">
        <w:rPr>
          <w:rFonts w:ascii="Arial" w:hAnsi="Arial" w:cs="Arial"/>
          <w:color w:val="000000" w:themeColor="text1"/>
          <w:sz w:val="24"/>
          <w:szCs w:val="24"/>
        </w:rPr>
        <w:t>.  My training was supported by the NELFT QI team with 5 days of protected in-house training, mentoring and ongoing email support.</w:t>
      </w:r>
    </w:p>
    <w:p w14:paraId="1882FBC1" w14:textId="009BA5A4" w:rsidR="001639EC" w:rsidRPr="000346B0" w:rsidRDefault="001639EC" w:rsidP="001639EC">
      <w:pPr>
        <w:rPr>
          <w:rFonts w:ascii="Arial" w:hAnsi="Arial" w:cs="Arial"/>
          <w:b/>
          <w:bCs/>
          <w:color w:val="000000" w:themeColor="text1"/>
          <w:sz w:val="24"/>
          <w:szCs w:val="24"/>
          <w:u w:val="single"/>
        </w:rPr>
      </w:pPr>
      <w:r w:rsidRPr="000346B0">
        <w:rPr>
          <w:rFonts w:ascii="Arial" w:hAnsi="Arial" w:cs="Arial"/>
          <w:color w:val="000000" w:themeColor="text1"/>
          <w:sz w:val="24"/>
          <w:szCs w:val="24"/>
        </w:rPr>
        <w:t xml:space="preserve">Nutricia product monthly orders of x10 home enterally fed patients were observed retrospectively for a period of 12 months as part of the QI 5Ps namely, what is our </w:t>
      </w:r>
      <w:r w:rsidRPr="000346B0">
        <w:rPr>
          <w:rFonts w:ascii="Arial" w:hAnsi="Arial" w:cs="Arial"/>
          <w:b/>
          <w:bCs/>
          <w:color w:val="000000" w:themeColor="text1"/>
          <w:sz w:val="24"/>
          <w:szCs w:val="24"/>
        </w:rPr>
        <w:t>Purpose?</w:t>
      </w:r>
      <w:r w:rsidRPr="000346B0">
        <w:rPr>
          <w:rFonts w:ascii="Arial" w:hAnsi="Arial" w:cs="Arial"/>
          <w:color w:val="000000" w:themeColor="text1"/>
          <w:sz w:val="24"/>
          <w:szCs w:val="24"/>
        </w:rPr>
        <w:t xml:space="preserve">  What is the current </w:t>
      </w:r>
      <w:r w:rsidRPr="000346B0">
        <w:rPr>
          <w:rFonts w:ascii="Arial" w:hAnsi="Arial" w:cs="Arial"/>
          <w:b/>
          <w:bCs/>
          <w:color w:val="000000" w:themeColor="text1"/>
          <w:sz w:val="24"/>
          <w:szCs w:val="24"/>
        </w:rPr>
        <w:t>Process?</w:t>
      </w:r>
      <w:r w:rsidRPr="000346B0">
        <w:rPr>
          <w:rFonts w:ascii="Arial" w:hAnsi="Arial" w:cs="Arial"/>
          <w:color w:val="000000" w:themeColor="text1"/>
          <w:sz w:val="24"/>
          <w:szCs w:val="24"/>
        </w:rPr>
        <w:t xml:space="preserve">  How many </w:t>
      </w:r>
      <w:r w:rsidRPr="000346B0">
        <w:rPr>
          <w:rFonts w:ascii="Arial" w:hAnsi="Arial" w:cs="Arial"/>
          <w:b/>
          <w:bCs/>
          <w:color w:val="000000" w:themeColor="text1"/>
          <w:sz w:val="24"/>
          <w:szCs w:val="24"/>
        </w:rPr>
        <w:t>People</w:t>
      </w:r>
      <w:r w:rsidRPr="000346B0">
        <w:rPr>
          <w:rFonts w:ascii="Arial" w:hAnsi="Arial" w:cs="Arial"/>
          <w:color w:val="000000" w:themeColor="text1"/>
          <w:sz w:val="24"/>
          <w:szCs w:val="24"/>
        </w:rPr>
        <w:t xml:space="preserve"> are involved in the system, and who are those people? What </w:t>
      </w:r>
      <w:r w:rsidRPr="000346B0">
        <w:rPr>
          <w:rFonts w:ascii="Arial" w:hAnsi="Arial" w:cs="Arial"/>
          <w:b/>
          <w:bCs/>
          <w:color w:val="000000" w:themeColor="text1"/>
          <w:sz w:val="24"/>
          <w:szCs w:val="24"/>
        </w:rPr>
        <w:t>Professionals</w:t>
      </w:r>
      <w:r w:rsidRPr="000346B0">
        <w:rPr>
          <w:rFonts w:ascii="Arial" w:hAnsi="Arial" w:cs="Arial"/>
          <w:color w:val="000000" w:themeColor="text1"/>
          <w:sz w:val="24"/>
          <w:szCs w:val="24"/>
        </w:rPr>
        <w:t xml:space="preserve"> do I need to engage with? And what </w:t>
      </w:r>
      <w:r w:rsidRPr="000346B0">
        <w:rPr>
          <w:rFonts w:ascii="Arial" w:hAnsi="Arial" w:cs="Arial"/>
          <w:b/>
          <w:bCs/>
          <w:color w:val="000000" w:themeColor="text1"/>
          <w:sz w:val="24"/>
          <w:szCs w:val="24"/>
        </w:rPr>
        <w:t>Patterns</w:t>
      </w:r>
      <w:r w:rsidRPr="000346B0">
        <w:rPr>
          <w:rFonts w:ascii="Arial" w:hAnsi="Arial" w:cs="Arial"/>
          <w:color w:val="000000" w:themeColor="text1"/>
          <w:sz w:val="24"/>
          <w:szCs w:val="24"/>
        </w:rPr>
        <w:t xml:space="preserve"> are currently Available?</w:t>
      </w:r>
    </w:p>
    <w:p w14:paraId="7400DB79" w14:textId="14E4A892" w:rsidR="001639EC" w:rsidRPr="000346B0" w:rsidRDefault="001639EC" w:rsidP="001639EC">
      <w:pPr>
        <w:rPr>
          <w:rFonts w:ascii="Arial" w:hAnsi="Arial" w:cs="Arial"/>
          <w:color w:val="000000" w:themeColor="text1"/>
          <w:sz w:val="24"/>
          <w:szCs w:val="24"/>
        </w:rPr>
      </w:pPr>
      <w:r w:rsidRPr="000346B0">
        <w:rPr>
          <w:rFonts w:ascii="Arial" w:hAnsi="Arial" w:cs="Arial"/>
          <w:color w:val="000000" w:themeColor="text1"/>
          <w:sz w:val="24"/>
          <w:szCs w:val="24"/>
        </w:rPr>
        <w:t>By mapping out the discharge journey of 1 HEF patient from hospital to home, bottlenecks, drivers and change ideas were identified to improve this process. The focus was improvement in patient care as well as highlighting the need to improve education for all the Dietitians involved in process.</w:t>
      </w:r>
    </w:p>
    <w:p w14:paraId="4A9580C1" w14:textId="4E08B14B" w:rsidR="001639EC" w:rsidRPr="000346B0" w:rsidRDefault="001639EC" w:rsidP="001639EC">
      <w:pPr>
        <w:rPr>
          <w:rFonts w:ascii="Arial" w:hAnsi="Arial" w:cs="Arial"/>
          <w:color w:val="000000" w:themeColor="text1"/>
          <w:sz w:val="24"/>
          <w:szCs w:val="24"/>
        </w:rPr>
      </w:pPr>
      <w:r w:rsidRPr="000346B0">
        <w:rPr>
          <w:rFonts w:ascii="Arial" w:hAnsi="Arial" w:cs="Arial"/>
          <w:color w:val="000000" w:themeColor="text1"/>
          <w:sz w:val="24"/>
          <w:szCs w:val="24"/>
        </w:rPr>
        <w:t>As part of this process it was deemed imperative that a Standard of procedure was developed for the NELFT Dietitians to refer to as well as our Acute dietetic Partners to ensure that all patients are provided with the appropriate plastics during the transition from Acute to community.</w:t>
      </w:r>
    </w:p>
    <w:p w14:paraId="41B925B9" w14:textId="77777777" w:rsidR="00A26CAF" w:rsidRPr="000346B0" w:rsidRDefault="00A26CAF" w:rsidP="0076466F">
      <w:pPr>
        <w:rPr>
          <w:rFonts w:ascii="Arial" w:hAnsi="Arial" w:cs="Arial"/>
          <w:color w:val="000000" w:themeColor="text1"/>
          <w:sz w:val="24"/>
          <w:szCs w:val="24"/>
        </w:rPr>
      </w:pPr>
    </w:p>
    <w:p w14:paraId="319F4D41" w14:textId="77777777" w:rsidR="00086C07" w:rsidRPr="000346B0" w:rsidRDefault="00086C07" w:rsidP="0076466F">
      <w:pPr>
        <w:pStyle w:val="Heading2"/>
        <w:rPr>
          <w:rFonts w:ascii="Arial" w:eastAsia="MS Mincho" w:hAnsi="Arial" w:cs="Arial"/>
          <w:color w:val="000000" w:themeColor="text1"/>
          <w:sz w:val="24"/>
          <w:szCs w:val="24"/>
          <w:lang w:eastAsia="en-GB"/>
        </w:rPr>
      </w:pPr>
      <w:r w:rsidRPr="000346B0">
        <w:rPr>
          <w:rFonts w:ascii="Arial" w:eastAsia="MS Mincho" w:hAnsi="Arial" w:cs="Arial"/>
          <w:color w:val="000000" w:themeColor="text1"/>
          <w:sz w:val="24"/>
          <w:szCs w:val="24"/>
          <w:lang w:eastAsia="en-GB"/>
        </w:rPr>
        <w:t>What were the challenges?</w:t>
      </w:r>
    </w:p>
    <w:p w14:paraId="76E8FECC" w14:textId="77777777" w:rsidR="00A26CAF" w:rsidRPr="000346B0" w:rsidRDefault="00A26CAF" w:rsidP="0076466F">
      <w:pPr>
        <w:rPr>
          <w:rFonts w:ascii="Arial" w:hAnsi="Arial" w:cs="Arial"/>
          <w:color w:val="000000" w:themeColor="text1"/>
          <w:sz w:val="24"/>
          <w:szCs w:val="24"/>
        </w:rPr>
      </w:pPr>
    </w:p>
    <w:p w14:paraId="6CAF40D4" w14:textId="5F97B571" w:rsidR="001639EC" w:rsidRPr="000346B0" w:rsidRDefault="001639EC" w:rsidP="0076466F">
      <w:pPr>
        <w:rPr>
          <w:rFonts w:ascii="Arial" w:hAnsi="Arial" w:cs="Arial"/>
          <w:color w:val="000000" w:themeColor="text1"/>
          <w:sz w:val="24"/>
          <w:szCs w:val="24"/>
        </w:rPr>
      </w:pPr>
      <w:r w:rsidRPr="000346B0">
        <w:rPr>
          <w:rFonts w:ascii="Arial" w:hAnsi="Arial" w:cs="Arial"/>
          <w:color w:val="000000" w:themeColor="text1"/>
          <w:sz w:val="24"/>
          <w:szCs w:val="24"/>
        </w:rPr>
        <w:t xml:space="preserve">Time constraints of carrying out the </w:t>
      </w:r>
      <w:r w:rsidR="00556A94" w:rsidRPr="000346B0">
        <w:rPr>
          <w:rFonts w:ascii="Arial" w:hAnsi="Arial" w:cs="Arial"/>
          <w:color w:val="000000" w:themeColor="text1"/>
          <w:sz w:val="24"/>
          <w:szCs w:val="24"/>
        </w:rPr>
        <w:t>QI learning process in addition to a busy caseload and maintaining momentum with devising the Enteral feeding Standard of procedure over many months.</w:t>
      </w:r>
    </w:p>
    <w:p w14:paraId="50845101" w14:textId="77777777" w:rsidR="00086C07" w:rsidRPr="000346B0" w:rsidRDefault="00086C07" w:rsidP="0076466F">
      <w:pPr>
        <w:pStyle w:val="Heading2"/>
        <w:rPr>
          <w:rFonts w:ascii="Arial" w:eastAsia="MS Mincho" w:hAnsi="Arial" w:cs="Arial"/>
          <w:color w:val="000000" w:themeColor="text1"/>
          <w:sz w:val="24"/>
          <w:szCs w:val="24"/>
          <w:lang w:eastAsia="en-GB"/>
        </w:rPr>
      </w:pPr>
      <w:r w:rsidRPr="000346B0">
        <w:rPr>
          <w:rFonts w:ascii="Arial" w:eastAsia="MS Mincho" w:hAnsi="Arial" w:cs="Arial"/>
          <w:color w:val="000000" w:themeColor="text1"/>
          <w:sz w:val="24"/>
          <w:szCs w:val="24"/>
          <w:lang w:eastAsia="en-GB"/>
        </w:rPr>
        <w:t>What were the results/Impact?</w:t>
      </w:r>
    </w:p>
    <w:p w14:paraId="073E7501" w14:textId="77777777" w:rsidR="001639EC" w:rsidRPr="000346B0" w:rsidRDefault="001639EC" w:rsidP="001639EC">
      <w:pPr>
        <w:rPr>
          <w:rFonts w:ascii="Arial" w:hAnsi="Arial" w:cs="Arial"/>
          <w:color w:val="000000" w:themeColor="text1"/>
          <w:sz w:val="24"/>
          <w:szCs w:val="24"/>
          <w:lang w:eastAsia="en-GB"/>
        </w:rPr>
      </w:pPr>
    </w:p>
    <w:p w14:paraId="180E200E" w14:textId="77777777" w:rsidR="001639EC" w:rsidRPr="000346B0" w:rsidRDefault="001639EC" w:rsidP="001639EC">
      <w:pPr>
        <w:rPr>
          <w:rFonts w:ascii="Arial" w:hAnsi="Arial" w:cs="Arial"/>
          <w:color w:val="000000" w:themeColor="text1"/>
          <w:sz w:val="24"/>
          <w:szCs w:val="24"/>
        </w:rPr>
      </w:pPr>
      <w:r w:rsidRPr="000346B0">
        <w:rPr>
          <w:rFonts w:ascii="Arial" w:hAnsi="Arial" w:cs="Arial"/>
          <w:color w:val="000000" w:themeColor="text1"/>
          <w:sz w:val="24"/>
          <w:szCs w:val="24"/>
        </w:rPr>
        <w:t xml:space="preserve">The observation of 10 patients showed a potential </w:t>
      </w:r>
      <w:r w:rsidRPr="000346B0">
        <w:rPr>
          <w:rFonts w:ascii="Arial" w:hAnsi="Arial" w:cs="Arial"/>
          <w:b/>
          <w:bCs/>
          <w:color w:val="000000" w:themeColor="text1"/>
          <w:sz w:val="24"/>
          <w:szCs w:val="24"/>
        </w:rPr>
        <w:t xml:space="preserve">Outcome Measure </w:t>
      </w:r>
      <w:r w:rsidRPr="000346B0">
        <w:rPr>
          <w:rFonts w:ascii="Arial" w:hAnsi="Arial" w:cs="Arial"/>
          <w:color w:val="000000" w:themeColor="text1"/>
          <w:sz w:val="24"/>
          <w:szCs w:val="24"/>
        </w:rPr>
        <w:t xml:space="preserve">of financial savings by streamlining the use of multi-use syringes within community care.  For example, the annual spend on incorrect syringe provisions for the 10 patients totalled £1042.  By swapping to multiuse syringes the predicted spend reduced to £540 for the same patient group, a saving of £502 per year.  </w:t>
      </w:r>
    </w:p>
    <w:p w14:paraId="7AB510F6" w14:textId="77777777" w:rsidR="0076466F" w:rsidRPr="000346B0" w:rsidRDefault="0076466F" w:rsidP="0076466F">
      <w:pPr>
        <w:rPr>
          <w:rFonts w:ascii="Arial" w:hAnsi="Arial" w:cs="Arial"/>
          <w:color w:val="000000" w:themeColor="text1"/>
          <w:sz w:val="24"/>
          <w:szCs w:val="24"/>
          <w:lang w:val="en-US"/>
        </w:rPr>
      </w:pPr>
    </w:p>
    <w:p w14:paraId="1F23363E" w14:textId="77777777" w:rsidR="00343A78" w:rsidRPr="000346B0" w:rsidRDefault="00343A78" w:rsidP="0076466F">
      <w:pPr>
        <w:rPr>
          <w:rFonts w:ascii="Arial" w:hAnsi="Arial" w:cs="Arial"/>
          <w:color w:val="000000" w:themeColor="text1"/>
          <w:sz w:val="24"/>
          <w:szCs w:val="24"/>
          <w:lang w:val="en-US"/>
        </w:rPr>
      </w:pPr>
    </w:p>
    <w:p w14:paraId="7F246B1A" w14:textId="6C93BC8B" w:rsidR="00086C07" w:rsidRPr="000346B0" w:rsidRDefault="00086C07"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 xml:space="preserve">Patient outcomes: </w:t>
      </w:r>
    </w:p>
    <w:p w14:paraId="6FDA4BDE" w14:textId="50F45147" w:rsidR="001639EC" w:rsidRPr="000346B0" w:rsidRDefault="001639EC"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 xml:space="preserve">The Home enteral feeding standard of procedure </w:t>
      </w:r>
      <w:r w:rsidR="00556A94" w:rsidRPr="000346B0">
        <w:rPr>
          <w:rFonts w:ascii="Arial" w:hAnsi="Arial" w:cs="Arial"/>
          <w:color w:val="000000" w:themeColor="text1"/>
          <w:sz w:val="24"/>
          <w:szCs w:val="24"/>
          <w:lang w:val="en-US"/>
        </w:rPr>
        <w:t>has ensured clarity for each of the stakeholders involved in a patient’s care to provide the correct amount of syringes for our patients ensuring safety and equality.</w:t>
      </w:r>
    </w:p>
    <w:p w14:paraId="332DB92F" w14:textId="66096AF6" w:rsidR="00086C07" w:rsidRPr="000346B0" w:rsidRDefault="00086C07"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 xml:space="preserve">Population </w:t>
      </w:r>
      <w:r w:rsidR="0076466F" w:rsidRPr="000346B0">
        <w:rPr>
          <w:rFonts w:ascii="Arial" w:hAnsi="Arial" w:cs="Arial"/>
          <w:color w:val="000000" w:themeColor="text1"/>
          <w:sz w:val="24"/>
          <w:szCs w:val="24"/>
          <w:lang w:val="en-US"/>
        </w:rPr>
        <w:t>outcomes</w:t>
      </w:r>
      <w:r w:rsidRPr="000346B0">
        <w:rPr>
          <w:rFonts w:ascii="Arial" w:hAnsi="Arial" w:cs="Arial"/>
          <w:color w:val="000000" w:themeColor="text1"/>
          <w:sz w:val="24"/>
          <w:szCs w:val="24"/>
          <w:lang w:val="en-US"/>
        </w:rPr>
        <w:t>:</w:t>
      </w:r>
    </w:p>
    <w:p w14:paraId="73B1419B" w14:textId="5817F996" w:rsidR="00343A78" w:rsidRPr="000346B0" w:rsidRDefault="00086C07"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Environmental impact</w:t>
      </w:r>
    </w:p>
    <w:p w14:paraId="5A5C300F" w14:textId="57390A61" w:rsidR="00343A78" w:rsidRPr="000346B0" w:rsidRDefault="00343A78"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The reduction of single use syringe/plastics over to Multi-use supports a reduction in plastic and the aim for a more sustainable healthcare without compromise to patient care.</w:t>
      </w:r>
    </w:p>
    <w:p w14:paraId="5CBCF7AE" w14:textId="77777777" w:rsidR="00086C07" w:rsidRPr="000346B0" w:rsidRDefault="00086C07"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 xml:space="preserve">Social impact: </w:t>
      </w:r>
    </w:p>
    <w:p w14:paraId="23959B0F" w14:textId="697388A7" w:rsidR="00343A78" w:rsidRPr="000346B0" w:rsidRDefault="000346B0" w:rsidP="0076466F">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Within the Dietetics Team of NELFT, the individual clinicians became more aware of the importance of ensuring the correct provision of plastics/syringes and many patients involved also agreed with a reduced amount of syringes as long as this did not compromise their care. </w:t>
      </w:r>
    </w:p>
    <w:p w14:paraId="5876A7C0" w14:textId="77777777" w:rsidR="00086C07" w:rsidRPr="000346B0" w:rsidRDefault="00086C07"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Financial impacts:</w:t>
      </w:r>
    </w:p>
    <w:p w14:paraId="1252C847" w14:textId="77777777" w:rsidR="00343A78" w:rsidRPr="000346B0" w:rsidRDefault="00343A78" w:rsidP="00343A78">
      <w:pPr>
        <w:rPr>
          <w:rFonts w:ascii="Arial" w:hAnsi="Arial" w:cs="Arial"/>
          <w:b/>
          <w:bCs/>
          <w:color w:val="000000" w:themeColor="text1"/>
          <w:sz w:val="24"/>
          <w:szCs w:val="24"/>
        </w:rPr>
      </w:pPr>
      <w:r w:rsidRPr="000346B0">
        <w:rPr>
          <w:rFonts w:ascii="Arial" w:hAnsi="Arial" w:cs="Arial"/>
          <w:color w:val="000000" w:themeColor="text1"/>
          <w:sz w:val="24"/>
          <w:szCs w:val="24"/>
        </w:rPr>
        <w:t>By swapping 10 patients from single use to multiuse syringes, the cost reduced by 51% from £1042 to £540.80.  An estimated saving of £501.20 over 12 months.</w:t>
      </w:r>
      <w:r w:rsidRPr="000346B0">
        <w:rPr>
          <w:rFonts w:ascii="Arial" w:eastAsiaTheme="minorEastAsia" w:hAnsi="Arial" w:cs="Arial"/>
          <w:b/>
          <w:bCs/>
          <w:color w:val="000000" w:themeColor="text1"/>
          <w:kern w:val="24"/>
          <w:sz w:val="24"/>
          <w:szCs w:val="24"/>
          <w:lang w:eastAsia="en-GB"/>
        </w:rPr>
        <w:t xml:space="preserve"> </w:t>
      </w:r>
      <w:r w:rsidRPr="000346B0">
        <w:rPr>
          <w:rFonts w:ascii="Arial" w:hAnsi="Arial" w:cs="Arial"/>
          <w:b/>
          <w:bCs/>
          <w:color w:val="000000" w:themeColor="text1"/>
          <w:sz w:val="24"/>
          <w:szCs w:val="24"/>
        </w:rPr>
        <w:t>Total = 270 patients may equal savings of £13,000/year</w:t>
      </w:r>
    </w:p>
    <w:p w14:paraId="4449CC44" w14:textId="5F28B91F" w:rsidR="00343A78" w:rsidRPr="000346B0" w:rsidRDefault="00343A78" w:rsidP="00343A78">
      <w:pPr>
        <w:rPr>
          <w:rFonts w:ascii="Arial" w:hAnsi="Arial" w:cs="Arial"/>
          <w:b/>
          <w:bCs/>
          <w:color w:val="000000" w:themeColor="text1"/>
          <w:sz w:val="24"/>
          <w:szCs w:val="24"/>
        </w:rPr>
      </w:pPr>
      <w:r w:rsidRPr="000346B0">
        <w:rPr>
          <w:rFonts w:ascii="Arial" w:hAnsi="Arial" w:cs="Arial"/>
          <w:b/>
          <w:bCs/>
          <w:color w:val="000000" w:themeColor="text1"/>
          <w:sz w:val="24"/>
          <w:szCs w:val="24"/>
        </w:rPr>
        <w:t>By the end of March 2021</w:t>
      </w:r>
    </w:p>
    <w:p w14:paraId="5E2E2365" w14:textId="124ECB89" w:rsidR="00343A78" w:rsidRPr="000346B0" w:rsidRDefault="00343A78" w:rsidP="00343A78">
      <w:pPr>
        <w:rPr>
          <w:rFonts w:ascii="Arial" w:hAnsi="Arial" w:cs="Arial"/>
          <w:b/>
          <w:bCs/>
          <w:color w:val="000000" w:themeColor="text1"/>
          <w:sz w:val="24"/>
          <w:szCs w:val="24"/>
        </w:rPr>
      </w:pPr>
      <w:r w:rsidRPr="000346B0">
        <w:rPr>
          <w:rFonts w:ascii="Arial" w:hAnsi="Arial" w:cs="Arial"/>
          <w:b/>
          <w:bCs/>
          <w:color w:val="000000" w:themeColor="text1"/>
          <w:sz w:val="24"/>
          <w:szCs w:val="24"/>
        </w:rPr>
        <w:t>Barking and Dagenham was saving £387.55 per month = £4650.60 predicted savings over the next 12 months.</w:t>
      </w:r>
    </w:p>
    <w:p w14:paraId="2B10B99A" w14:textId="6F990915" w:rsidR="00343A78" w:rsidRPr="000346B0" w:rsidRDefault="00343A78" w:rsidP="00343A78">
      <w:pPr>
        <w:rPr>
          <w:rFonts w:ascii="Arial" w:hAnsi="Arial" w:cs="Arial"/>
          <w:b/>
          <w:bCs/>
          <w:color w:val="000000" w:themeColor="text1"/>
          <w:sz w:val="24"/>
          <w:szCs w:val="24"/>
        </w:rPr>
      </w:pPr>
      <w:r w:rsidRPr="000346B0">
        <w:rPr>
          <w:rFonts w:ascii="Arial" w:hAnsi="Arial" w:cs="Arial"/>
          <w:b/>
          <w:bCs/>
          <w:color w:val="000000" w:themeColor="text1"/>
          <w:sz w:val="24"/>
          <w:szCs w:val="24"/>
        </w:rPr>
        <w:t xml:space="preserve">Redbridge was saving £303.94 per month = £3647.28 over the next 12 months </w:t>
      </w:r>
    </w:p>
    <w:p w14:paraId="793C6BCC" w14:textId="2F23F2BB" w:rsidR="00343A78" w:rsidRPr="000346B0" w:rsidRDefault="00343A78" w:rsidP="00343A78">
      <w:pPr>
        <w:rPr>
          <w:rFonts w:ascii="Arial" w:hAnsi="Arial" w:cs="Arial"/>
          <w:b/>
          <w:bCs/>
          <w:color w:val="000000" w:themeColor="text1"/>
          <w:sz w:val="24"/>
          <w:szCs w:val="24"/>
        </w:rPr>
      </w:pPr>
      <w:r w:rsidRPr="000346B0">
        <w:rPr>
          <w:rFonts w:ascii="Arial" w:hAnsi="Arial" w:cs="Arial"/>
          <w:b/>
          <w:bCs/>
          <w:color w:val="000000" w:themeColor="text1"/>
          <w:sz w:val="24"/>
          <w:szCs w:val="24"/>
        </w:rPr>
        <w:t>Havering was saving £924.24 per month = £11090 over the next 12 months.</w:t>
      </w:r>
    </w:p>
    <w:p w14:paraId="1E005DAF" w14:textId="1F539EA7" w:rsidR="00343A78" w:rsidRPr="000346B0" w:rsidRDefault="00343A78" w:rsidP="00343A78">
      <w:pPr>
        <w:rPr>
          <w:rFonts w:ascii="Arial" w:hAnsi="Arial" w:cs="Arial"/>
          <w:b/>
          <w:bCs/>
          <w:color w:val="000000" w:themeColor="text1"/>
          <w:sz w:val="24"/>
          <w:szCs w:val="24"/>
        </w:rPr>
      </w:pPr>
      <w:r w:rsidRPr="000346B0">
        <w:rPr>
          <w:rFonts w:ascii="Arial" w:hAnsi="Arial" w:cs="Arial"/>
          <w:b/>
          <w:bCs/>
          <w:color w:val="000000" w:themeColor="text1"/>
          <w:sz w:val="24"/>
          <w:szCs w:val="24"/>
        </w:rPr>
        <w:t>Total savings £27,685.76 predicted based on the caseload remaining the same over the following 12 months.</w:t>
      </w:r>
    </w:p>
    <w:p w14:paraId="6383DB15" w14:textId="77777777" w:rsidR="00A26CAF" w:rsidRPr="000346B0" w:rsidRDefault="00A26CAF" w:rsidP="0076466F">
      <w:pPr>
        <w:rPr>
          <w:rFonts w:ascii="Arial" w:hAnsi="Arial" w:cs="Arial"/>
          <w:color w:val="000000" w:themeColor="text1"/>
          <w:sz w:val="24"/>
          <w:szCs w:val="24"/>
        </w:rPr>
      </w:pPr>
    </w:p>
    <w:p w14:paraId="4EA97085" w14:textId="77777777" w:rsidR="00086C07" w:rsidRPr="000346B0" w:rsidRDefault="00086C07" w:rsidP="0076466F">
      <w:pPr>
        <w:pStyle w:val="Heading2"/>
        <w:rPr>
          <w:rFonts w:ascii="Arial" w:hAnsi="Arial" w:cs="Arial"/>
          <w:color w:val="000000" w:themeColor="text1"/>
          <w:sz w:val="24"/>
          <w:szCs w:val="24"/>
          <w:lang w:eastAsia="en-GB"/>
        </w:rPr>
      </w:pPr>
      <w:r w:rsidRPr="000346B0">
        <w:rPr>
          <w:rFonts w:ascii="Arial" w:hAnsi="Arial" w:cs="Arial"/>
          <w:color w:val="000000" w:themeColor="text1"/>
          <w:sz w:val="24"/>
          <w:szCs w:val="24"/>
          <w:lang w:eastAsia="en-GB"/>
        </w:rPr>
        <w:t>What were the learning points?</w:t>
      </w:r>
    </w:p>
    <w:p w14:paraId="554E6B0B" w14:textId="037B928D" w:rsidR="00086C07" w:rsidRPr="000346B0" w:rsidRDefault="00556A94" w:rsidP="0076466F">
      <w:pPr>
        <w:rPr>
          <w:rFonts w:ascii="Arial" w:hAnsi="Arial" w:cs="Arial"/>
          <w:color w:val="000000" w:themeColor="text1"/>
          <w:sz w:val="24"/>
          <w:szCs w:val="24"/>
          <w:lang w:eastAsia="en-GB"/>
        </w:rPr>
      </w:pPr>
      <w:r w:rsidRPr="000346B0">
        <w:rPr>
          <w:rFonts w:ascii="Arial" w:hAnsi="Arial" w:cs="Arial"/>
          <w:color w:val="000000" w:themeColor="text1"/>
          <w:sz w:val="24"/>
          <w:szCs w:val="24"/>
          <w:lang w:eastAsia="en-GB"/>
        </w:rPr>
        <w:t xml:space="preserve">Learn and follow the QI process to focus on a smaller cohort of patients and scale up the positive results to a larger caseload.  </w:t>
      </w:r>
    </w:p>
    <w:p w14:paraId="3C6D5ED6" w14:textId="77777777" w:rsidR="00086C07" w:rsidRPr="000346B0" w:rsidRDefault="00086C07" w:rsidP="0076466F">
      <w:pPr>
        <w:pStyle w:val="Heading2"/>
        <w:rPr>
          <w:rFonts w:ascii="Arial" w:hAnsi="Arial" w:cs="Arial"/>
          <w:color w:val="000000" w:themeColor="text1"/>
          <w:sz w:val="24"/>
          <w:szCs w:val="24"/>
          <w:lang w:eastAsia="en-GB"/>
        </w:rPr>
      </w:pPr>
      <w:r w:rsidRPr="000346B0">
        <w:rPr>
          <w:rFonts w:ascii="Arial" w:hAnsi="Arial" w:cs="Arial"/>
          <w:color w:val="000000" w:themeColor="text1"/>
          <w:sz w:val="24"/>
          <w:szCs w:val="24"/>
          <w:lang w:eastAsia="en-GB"/>
        </w:rPr>
        <w:t xml:space="preserve">Next steps </w:t>
      </w:r>
    </w:p>
    <w:p w14:paraId="4ADC096A" w14:textId="5125BA5A" w:rsidR="00086C07" w:rsidRPr="000346B0" w:rsidRDefault="00556A94" w:rsidP="0076466F">
      <w:pPr>
        <w:rPr>
          <w:rFonts w:ascii="Arial" w:hAnsi="Arial" w:cs="Arial"/>
          <w:color w:val="000000" w:themeColor="text1"/>
          <w:sz w:val="24"/>
          <w:szCs w:val="24"/>
          <w:lang w:val="en-US"/>
        </w:rPr>
      </w:pPr>
      <w:r w:rsidRPr="000346B0">
        <w:rPr>
          <w:rFonts w:ascii="Arial" w:hAnsi="Arial" w:cs="Arial"/>
          <w:color w:val="000000" w:themeColor="text1"/>
          <w:sz w:val="24"/>
          <w:szCs w:val="24"/>
          <w:lang w:val="en-US"/>
        </w:rPr>
        <w:t>Continually update the HEF with new products of codes specific for the use of patients transitioning from Acute care into community.</w:t>
      </w:r>
    </w:p>
    <w:p w14:paraId="766200E5" w14:textId="0EB19667" w:rsidR="00086C07" w:rsidRPr="000346B0" w:rsidRDefault="00086C07" w:rsidP="0076466F">
      <w:pPr>
        <w:pStyle w:val="Heading2"/>
        <w:rPr>
          <w:rFonts w:ascii="Arial" w:eastAsia="ヒラギノ角ゴ Pro W3" w:hAnsi="Arial" w:cs="Arial"/>
          <w:color w:val="000000" w:themeColor="text1"/>
          <w:sz w:val="24"/>
          <w:szCs w:val="24"/>
          <w:lang w:val="en-US"/>
        </w:rPr>
      </w:pPr>
      <w:r w:rsidRPr="000346B0">
        <w:rPr>
          <w:rFonts w:ascii="Arial" w:hAnsi="Arial" w:cs="Arial"/>
          <w:color w:val="000000" w:themeColor="text1"/>
          <w:sz w:val="24"/>
          <w:szCs w:val="24"/>
          <w:lang w:eastAsia="en-GB"/>
        </w:rPr>
        <w:t>What the team and/or patients and carers had to say</w:t>
      </w:r>
    </w:p>
    <w:p w14:paraId="28C945C8" w14:textId="77777777" w:rsidR="00086C07" w:rsidRPr="000346B0" w:rsidRDefault="00086C07" w:rsidP="0076466F">
      <w:pPr>
        <w:rPr>
          <w:rFonts w:ascii="Arial" w:hAnsi="Arial" w:cs="Arial"/>
          <w:color w:val="000000" w:themeColor="text1"/>
          <w:sz w:val="24"/>
          <w:szCs w:val="24"/>
          <w:lang w:eastAsia="en-GB"/>
        </w:rPr>
      </w:pPr>
    </w:p>
    <w:p w14:paraId="4C86D569" w14:textId="26C1CF15" w:rsidR="00086C07" w:rsidRDefault="00086C07" w:rsidP="0076466F">
      <w:pPr>
        <w:pStyle w:val="Heading2"/>
        <w:rPr>
          <w:rFonts w:ascii="Arial" w:eastAsia="MS Mincho" w:hAnsi="Arial" w:cs="Arial"/>
          <w:color w:val="000000" w:themeColor="text1"/>
          <w:sz w:val="24"/>
          <w:szCs w:val="24"/>
          <w:lang w:eastAsia="en-GB"/>
        </w:rPr>
      </w:pPr>
      <w:r w:rsidRPr="000346B0">
        <w:rPr>
          <w:rFonts w:ascii="Arial" w:eastAsia="MS Mincho" w:hAnsi="Arial" w:cs="Arial"/>
          <w:color w:val="000000" w:themeColor="text1"/>
          <w:sz w:val="24"/>
          <w:szCs w:val="24"/>
          <w:lang w:eastAsia="en-GB"/>
        </w:rPr>
        <w:t>Resources and references</w:t>
      </w:r>
      <w:r w:rsidR="000346B0">
        <w:rPr>
          <w:rFonts w:ascii="Arial" w:eastAsia="MS Mincho" w:hAnsi="Arial" w:cs="Arial"/>
          <w:color w:val="000000" w:themeColor="text1"/>
          <w:sz w:val="24"/>
          <w:szCs w:val="24"/>
          <w:lang w:eastAsia="en-GB"/>
        </w:rPr>
        <w:t>:</w:t>
      </w:r>
    </w:p>
    <w:p w14:paraId="3FEA4F44" w14:textId="77777777" w:rsidR="000346B0" w:rsidRPr="000346B0" w:rsidRDefault="000346B0" w:rsidP="000346B0">
      <w:pPr>
        <w:rPr>
          <w:lang w:eastAsia="en-GB"/>
        </w:rPr>
      </w:pPr>
    </w:p>
    <w:p w14:paraId="6BB5E91F" w14:textId="0A43C6BF" w:rsidR="00086C07" w:rsidRDefault="00556A94" w:rsidP="0076466F">
      <w:pPr>
        <w:rPr>
          <w:rFonts w:ascii="Arial" w:hAnsi="Arial" w:cs="Arial"/>
          <w:color w:val="000000" w:themeColor="text1"/>
          <w:sz w:val="24"/>
          <w:szCs w:val="24"/>
          <w:lang w:eastAsia="en-GB"/>
        </w:rPr>
      </w:pPr>
      <w:r w:rsidRPr="000346B0">
        <w:rPr>
          <w:rFonts w:ascii="Arial" w:hAnsi="Arial" w:cs="Arial"/>
          <w:color w:val="000000" w:themeColor="text1"/>
          <w:sz w:val="24"/>
          <w:szCs w:val="24"/>
          <w:lang w:eastAsia="en-GB"/>
        </w:rPr>
        <w:t>Quality Improvement (2016)</w:t>
      </w:r>
    </w:p>
    <w:p w14:paraId="776D3003" w14:textId="77777777" w:rsidR="000346B0" w:rsidRPr="000346B0" w:rsidRDefault="000346B0" w:rsidP="0076466F">
      <w:pPr>
        <w:rPr>
          <w:rFonts w:ascii="Arial" w:hAnsi="Arial" w:cs="Arial"/>
          <w:color w:val="000000" w:themeColor="text1"/>
          <w:sz w:val="24"/>
          <w:szCs w:val="24"/>
          <w:lang w:eastAsia="en-GB"/>
        </w:rPr>
      </w:pPr>
    </w:p>
    <w:p w14:paraId="6912E099" w14:textId="143F3270" w:rsidR="00E6610C" w:rsidRPr="000346B0" w:rsidRDefault="00086C07" w:rsidP="00E6610C">
      <w:pPr>
        <w:pStyle w:val="Heading2"/>
        <w:rPr>
          <w:rFonts w:ascii="Arial" w:eastAsia="MS Mincho" w:hAnsi="Arial" w:cs="Arial"/>
          <w:color w:val="000000" w:themeColor="text1"/>
          <w:sz w:val="24"/>
          <w:szCs w:val="24"/>
          <w:lang w:eastAsia="en-GB"/>
        </w:rPr>
      </w:pPr>
      <w:r w:rsidRPr="000346B0">
        <w:rPr>
          <w:rFonts w:ascii="Arial" w:eastAsia="MS Mincho" w:hAnsi="Arial" w:cs="Arial"/>
          <w:color w:val="000000" w:themeColor="text1"/>
          <w:sz w:val="24"/>
          <w:szCs w:val="24"/>
          <w:lang w:eastAsia="en-GB"/>
        </w:rPr>
        <w:t>Want to know more?</w:t>
      </w:r>
    </w:p>
    <w:p w14:paraId="52718C4D" w14:textId="77777777" w:rsidR="00953729" w:rsidRPr="000346B0" w:rsidRDefault="00953729" w:rsidP="00953729">
      <w:pPr>
        <w:spacing w:after="0" w:line="276" w:lineRule="auto"/>
        <w:rPr>
          <w:rFonts w:ascii="Arial" w:hAnsi="Arial" w:cs="Arial"/>
          <w:color w:val="000000" w:themeColor="text1"/>
          <w:sz w:val="24"/>
          <w:szCs w:val="24"/>
          <w:lang w:eastAsia="en-GB"/>
        </w:rPr>
      </w:pPr>
    </w:p>
    <w:p w14:paraId="45F7DEE3" w14:textId="715B54BE" w:rsidR="00953729" w:rsidRPr="000346B0" w:rsidRDefault="00953729" w:rsidP="00953729">
      <w:pPr>
        <w:spacing w:after="0" w:line="276" w:lineRule="auto"/>
        <w:ind w:left="360"/>
        <w:rPr>
          <w:rFonts w:ascii="Arial" w:hAnsi="Arial" w:cs="Arial"/>
          <w:color w:val="000000" w:themeColor="text1"/>
          <w:sz w:val="24"/>
          <w:szCs w:val="24"/>
          <w:lang w:eastAsia="en-GB"/>
        </w:rPr>
      </w:pPr>
      <w:r w:rsidRPr="000346B0">
        <w:rPr>
          <w:rFonts w:ascii="Arial" w:hAnsi="Arial" w:cs="Arial"/>
          <w:color w:val="000000" w:themeColor="text1"/>
          <w:sz w:val="24"/>
          <w:szCs w:val="24"/>
          <w:lang w:eastAsia="en-GB"/>
        </w:rPr>
        <w:t>C</w:t>
      </w:r>
      <w:r w:rsidR="003739F8" w:rsidRPr="000346B0">
        <w:rPr>
          <w:rFonts w:ascii="Arial" w:hAnsi="Arial" w:cs="Arial"/>
          <w:color w:val="000000" w:themeColor="text1"/>
          <w:sz w:val="24"/>
          <w:szCs w:val="24"/>
          <w:lang w:eastAsia="en-GB"/>
        </w:rPr>
        <w:t xml:space="preserve">ontact </w:t>
      </w:r>
      <w:r w:rsidR="00E6610C" w:rsidRPr="000346B0">
        <w:rPr>
          <w:rFonts w:ascii="Arial" w:hAnsi="Arial" w:cs="Arial"/>
          <w:color w:val="000000" w:themeColor="text1"/>
          <w:sz w:val="24"/>
          <w:szCs w:val="24"/>
          <w:lang w:eastAsia="en-GB"/>
        </w:rPr>
        <w:t>1</w:t>
      </w:r>
      <w:r w:rsidRPr="000346B0">
        <w:rPr>
          <w:rFonts w:ascii="Arial" w:hAnsi="Arial" w:cs="Arial"/>
          <w:color w:val="000000" w:themeColor="text1"/>
          <w:sz w:val="24"/>
          <w:szCs w:val="24"/>
          <w:lang w:eastAsia="en-GB"/>
        </w:rPr>
        <w:t>:</w:t>
      </w:r>
      <w:r w:rsidR="00E6610C" w:rsidRPr="000346B0">
        <w:rPr>
          <w:rFonts w:ascii="Arial" w:hAnsi="Arial" w:cs="Arial"/>
          <w:color w:val="000000" w:themeColor="text1"/>
          <w:sz w:val="24"/>
          <w:szCs w:val="24"/>
          <w:lang w:eastAsia="en-GB"/>
        </w:rPr>
        <w:t xml:space="preserve"> </w:t>
      </w:r>
    </w:p>
    <w:p w14:paraId="648A01C9" w14:textId="3BBB6179" w:rsidR="003739F8" w:rsidRPr="000346B0" w:rsidRDefault="00953729"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N</w:t>
      </w:r>
      <w:r w:rsidR="003739F8" w:rsidRPr="000346B0">
        <w:rPr>
          <w:rFonts w:ascii="Arial" w:hAnsi="Arial" w:cs="Arial"/>
          <w:color w:val="000000" w:themeColor="text1"/>
          <w:lang w:eastAsia="en-GB"/>
        </w:rPr>
        <w:t>ame:</w:t>
      </w:r>
      <w:r w:rsidR="003739F8" w:rsidRPr="000346B0">
        <w:rPr>
          <w:rFonts w:ascii="Arial" w:eastAsiaTheme="majorEastAsia" w:hAnsi="Arial" w:cs="Arial"/>
          <w:b/>
          <w:bCs/>
          <w:color w:val="000000" w:themeColor="text1"/>
          <w:lang w:val="en-US"/>
        </w:rPr>
        <w:t xml:space="preserve"> </w:t>
      </w:r>
    </w:p>
    <w:p w14:paraId="1D7360A7" w14:textId="77777777" w:rsidR="003739F8" w:rsidRPr="000346B0" w:rsidRDefault="003739F8"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Role:</w:t>
      </w:r>
      <w:r w:rsidRPr="000346B0">
        <w:rPr>
          <w:rFonts w:ascii="Arial" w:eastAsiaTheme="majorEastAsia" w:hAnsi="Arial" w:cs="Arial"/>
          <w:b/>
          <w:bCs/>
          <w:color w:val="000000" w:themeColor="text1"/>
          <w:lang w:val="en-US"/>
        </w:rPr>
        <w:t xml:space="preserve"> </w:t>
      </w:r>
    </w:p>
    <w:p w14:paraId="6E4F97F8" w14:textId="77777777" w:rsidR="003739F8" w:rsidRPr="000346B0" w:rsidRDefault="003739F8"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Email:</w:t>
      </w:r>
      <w:r w:rsidRPr="000346B0">
        <w:rPr>
          <w:rFonts w:ascii="Arial" w:eastAsiaTheme="majorEastAsia" w:hAnsi="Arial" w:cs="Arial"/>
          <w:b/>
          <w:bCs/>
          <w:color w:val="000000" w:themeColor="text1"/>
          <w:lang w:val="en-US"/>
        </w:rPr>
        <w:t xml:space="preserve"> </w:t>
      </w:r>
    </w:p>
    <w:p w14:paraId="7E85F2DC" w14:textId="77777777" w:rsidR="003739F8" w:rsidRPr="000346B0" w:rsidRDefault="003739F8"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Location &amp; NHS Region if within the UK:</w:t>
      </w:r>
      <w:r w:rsidRPr="000346B0">
        <w:rPr>
          <w:rFonts w:ascii="Arial" w:eastAsiaTheme="majorEastAsia" w:hAnsi="Arial" w:cs="Arial"/>
          <w:b/>
          <w:bCs/>
          <w:color w:val="000000" w:themeColor="text1"/>
          <w:lang w:val="en-US"/>
        </w:rPr>
        <w:t xml:space="preserve"> </w:t>
      </w:r>
      <w:r w:rsidRPr="000346B0">
        <w:rPr>
          <w:rFonts w:ascii="Arial" w:eastAsia="ヒラギノ角ゴ Pro W3" w:hAnsi="Arial" w:cs="Arial"/>
          <w:color w:val="000000" w:themeColor="text1"/>
          <w:lang w:val="en-US"/>
        </w:rPr>
        <w:t>[</w:t>
      </w:r>
      <w:r w:rsidRPr="000346B0">
        <w:rPr>
          <w:rFonts w:ascii="Arial" w:eastAsia="ヒラギノ角ゴ Pro W3" w:hAnsi="Arial" w:cs="Arial"/>
          <w:i/>
          <w:iCs/>
          <w:color w:val="000000" w:themeColor="text1"/>
          <w:lang w:val="en-US"/>
        </w:rPr>
        <w:t>Country and region (if relevant) of lead organisation</w:t>
      </w:r>
      <w:r w:rsidRPr="000346B0">
        <w:rPr>
          <w:rFonts w:ascii="Arial" w:eastAsia="ヒラギノ角ゴ Pro W3" w:hAnsi="Arial" w:cs="Arial"/>
          <w:color w:val="000000" w:themeColor="text1"/>
          <w:lang w:val="en-US"/>
        </w:rPr>
        <w:t>]</w:t>
      </w:r>
    </w:p>
    <w:p w14:paraId="73C2E62B" w14:textId="77777777" w:rsidR="003739F8" w:rsidRPr="000346B0" w:rsidRDefault="003739F8"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rPr>
        <w:t xml:space="preserve">Partner organisations involved: </w:t>
      </w:r>
      <w:r w:rsidRPr="000346B0">
        <w:rPr>
          <w:rFonts w:ascii="Arial" w:eastAsia="ヒラギノ角ゴ Pro W3" w:hAnsi="Arial" w:cs="Arial"/>
          <w:color w:val="000000" w:themeColor="text1"/>
          <w:lang w:val="en-US"/>
        </w:rPr>
        <w:t>[</w:t>
      </w:r>
      <w:r w:rsidRPr="000346B0">
        <w:rPr>
          <w:rFonts w:ascii="Arial" w:eastAsia="ヒラギノ角ゴ Pro W3" w:hAnsi="Arial" w:cs="Arial"/>
          <w:i/>
          <w:iCs/>
          <w:color w:val="000000" w:themeColor="text1"/>
          <w:lang w:val="en-US"/>
        </w:rPr>
        <w:t>Name of partner organisation(s); links to relevant info/resources]</w:t>
      </w:r>
      <w:r w:rsidRPr="000346B0">
        <w:rPr>
          <w:rFonts w:ascii="Arial" w:hAnsi="Arial" w:cs="Arial"/>
          <w:color w:val="000000" w:themeColor="text1"/>
        </w:rPr>
        <w:t xml:space="preserve"> </w:t>
      </w:r>
    </w:p>
    <w:p w14:paraId="1704F064" w14:textId="63A72B54" w:rsidR="003739F8" w:rsidRPr="000346B0" w:rsidRDefault="003739F8" w:rsidP="00953729">
      <w:pPr>
        <w:pStyle w:val="ListParagraph"/>
        <w:numPr>
          <w:ilvl w:val="0"/>
          <w:numId w:val="3"/>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 xml:space="preserve">Has this </w:t>
      </w:r>
      <w:r w:rsidR="00887E15" w:rsidRPr="000346B0">
        <w:rPr>
          <w:rFonts w:ascii="Arial" w:hAnsi="Arial" w:cs="Arial"/>
          <w:color w:val="000000" w:themeColor="text1"/>
          <w:lang w:eastAsia="en-GB"/>
        </w:rPr>
        <w:t>project</w:t>
      </w:r>
      <w:r w:rsidRPr="000346B0">
        <w:rPr>
          <w:rFonts w:ascii="Arial" w:hAnsi="Arial" w:cs="Arial"/>
          <w:color w:val="000000" w:themeColor="text1"/>
          <w:lang w:eastAsia="en-GB"/>
        </w:rPr>
        <w:t xml:space="preserve"> or story been made public in any form befor</w:t>
      </w:r>
      <w:r w:rsidRPr="000346B0">
        <w:rPr>
          <w:rFonts w:ascii="Arial" w:hAnsi="Arial" w:cs="Arial"/>
          <w:color w:val="000000" w:themeColor="text1"/>
        </w:rPr>
        <w:t>e?</w:t>
      </w:r>
      <w:r w:rsidRPr="000346B0">
        <w:rPr>
          <w:rFonts w:ascii="Arial" w:eastAsiaTheme="majorEastAsia" w:hAnsi="Arial" w:cs="Arial"/>
          <w:i/>
          <w:iCs/>
          <w:color w:val="000000" w:themeColor="text1"/>
          <w:lang w:val="en-US"/>
        </w:rPr>
        <w:t xml:space="preserve"> </w:t>
      </w:r>
      <w:r w:rsidRPr="000346B0">
        <w:rPr>
          <w:rFonts w:ascii="Arial" w:eastAsiaTheme="majorEastAsia" w:hAnsi="Arial" w:cs="Arial"/>
          <w:color w:val="000000" w:themeColor="text1"/>
          <w:lang w:val="en-US"/>
        </w:rPr>
        <w:t>Yes/ No [</w:t>
      </w:r>
      <w:r w:rsidRPr="000346B0">
        <w:rPr>
          <w:rFonts w:ascii="Arial" w:eastAsiaTheme="majorEastAsia" w:hAnsi="Arial" w:cs="Arial"/>
          <w:i/>
          <w:iCs/>
          <w:color w:val="000000" w:themeColor="text1"/>
          <w:lang w:val="en-US"/>
        </w:rPr>
        <w:t>If yes, please direct to the place where it is published</w:t>
      </w:r>
      <w:r w:rsidRPr="000346B0">
        <w:rPr>
          <w:rFonts w:ascii="Arial" w:eastAsiaTheme="majorEastAsia" w:hAnsi="Arial" w:cs="Arial"/>
          <w:color w:val="000000" w:themeColor="text1"/>
          <w:lang w:val="en-US"/>
        </w:rPr>
        <w:t>]</w:t>
      </w:r>
    </w:p>
    <w:p w14:paraId="756E6876" w14:textId="77777777" w:rsidR="00086C07" w:rsidRPr="000346B0" w:rsidRDefault="00086C07" w:rsidP="00953729">
      <w:pPr>
        <w:keepNext/>
        <w:keepLines/>
        <w:spacing w:after="0" w:line="276" w:lineRule="auto"/>
        <w:outlineLvl w:val="0"/>
        <w:rPr>
          <w:rFonts w:ascii="Arial" w:eastAsiaTheme="majorEastAsia" w:hAnsi="Arial" w:cs="Arial"/>
          <w:color w:val="000000" w:themeColor="text1"/>
          <w:sz w:val="24"/>
          <w:szCs w:val="24"/>
          <w:lang w:val="en-US"/>
        </w:rPr>
      </w:pPr>
    </w:p>
    <w:p w14:paraId="27AA76B2" w14:textId="0686B820" w:rsidR="00086C07" w:rsidRPr="000346B0" w:rsidRDefault="00086C07" w:rsidP="00953729">
      <w:pPr>
        <w:keepNext/>
        <w:keepLines/>
        <w:spacing w:after="0" w:line="276" w:lineRule="auto"/>
        <w:outlineLvl w:val="0"/>
        <w:rPr>
          <w:rFonts w:ascii="Arial" w:eastAsiaTheme="majorEastAsia" w:hAnsi="Arial" w:cs="Arial"/>
          <w:color w:val="000000" w:themeColor="text1"/>
          <w:sz w:val="24"/>
          <w:szCs w:val="24"/>
          <w:lang w:val="en-US"/>
        </w:rPr>
      </w:pPr>
      <w:r w:rsidRPr="000346B0">
        <w:rPr>
          <w:rFonts w:ascii="Arial" w:eastAsiaTheme="majorEastAsia" w:hAnsi="Arial" w:cs="Arial"/>
          <w:color w:val="000000" w:themeColor="text1"/>
          <w:sz w:val="24"/>
          <w:szCs w:val="24"/>
          <w:lang w:val="en-US"/>
        </w:rPr>
        <w:t xml:space="preserve">If available, please provide details of an additional contact </w:t>
      </w:r>
      <w:bookmarkStart w:id="6" w:name="_Hlk109314135"/>
      <w:r w:rsidRPr="000346B0">
        <w:rPr>
          <w:rFonts w:ascii="Arial" w:eastAsiaTheme="majorEastAsia" w:hAnsi="Arial" w:cs="Arial"/>
          <w:color w:val="000000" w:themeColor="text1"/>
          <w:sz w:val="24"/>
          <w:szCs w:val="24"/>
          <w:lang w:val="en-US"/>
        </w:rPr>
        <w:t>to best enable others interested in your project to reach you</w:t>
      </w:r>
      <w:r w:rsidR="00110F0F" w:rsidRPr="000346B0">
        <w:rPr>
          <w:rFonts w:ascii="Arial" w:eastAsiaTheme="majorEastAsia" w:hAnsi="Arial" w:cs="Arial"/>
          <w:color w:val="000000" w:themeColor="text1"/>
          <w:sz w:val="24"/>
          <w:szCs w:val="24"/>
          <w:lang w:val="en-US"/>
        </w:rPr>
        <w:t xml:space="preserve"> in future</w:t>
      </w:r>
      <w:r w:rsidRPr="000346B0">
        <w:rPr>
          <w:rFonts w:ascii="Arial" w:eastAsiaTheme="majorEastAsia" w:hAnsi="Arial" w:cs="Arial"/>
          <w:color w:val="000000" w:themeColor="text1"/>
          <w:sz w:val="24"/>
          <w:szCs w:val="24"/>
          <w:lang w:val="en-US"/>
        </w:rPr>
        <w:t xml:space="preserve">.  </w:t>
      </w:r>
    </w:p>
    <w:bookmarkEnd w:id="6"/>
    <w:p w14:paraId="6E11B0D1" w14:textId="77777777" w:rsidR="00953729" w:rsidRPr="000346B0" w:rsidRDefault="00953729" w:rsidP="00953729">
      <w:pPr>
        <w:spacing w:after="0" w:line="276" w:lineRule="auto"/>
        <w:rPr>
          <w:rFonts w:ascii="Arial" w:hAnsi="Arial" w:cs="Arial"/>
          <w:color w:val="000000" w:themeColor="text1"/>
          <w:sz w:val="24"/>
          <w:szCs w:val="24"/>
          <w:lang w:eastAsia="en-GB"/>
        </w:rPr>
      </w:pPr>
    </w:p>
    <w:p w14:paraId="6202FEC5" w14:textId="151781EB" w:rsidR="00953729" w:rsidRPr="000346B0" w:rsidRDefault="00A26CAF" w:rsidP="00953729">
      <w:pPr>
        <w:spacing w:after="0" w:line="276" w:lineRule="auto"/>
        <w:ind w:left="360"/>
        <w:rPr>
          <w:rFonts w:ascii="Arial" w:eastAsia="ヒラギノ角ゴ Pro W3" w:hAnsi="Arial" w:cs="Arial"/>
          <w:color w:val="000000" w:themeColor="text1"/>
          <w:sz w:val="24"/>
          <w:szCs w:val="24"/>
          <w:lang w:val="en-US"/>
        </w:rPr>
      </w:pPr>
      <w:r w:rsidRPr="000346B0">
        <w:rPr>
          <w:rFonts w:ascii="Arial" w:hAnsi="Arial" w:cs="Arial"/>
          <w:color w:val="000000" w:themeColor="text1"/>
          <w:sz w:val="24"/>
          <w:szCs w:val="24"/>
          <w:lang w:eastAsia="en-GB"/>
        </w:rPr>
        <w:t xml:space="preserve">Contact </w:t>
      </w:r>
      <w:r w:rsidR="00E6610C" w:rsidRPr="000346B0">
        <w:rPr>
          <w:rFonts w:ascii="Arial" w:hAnsi="Arial" w:cs="Arial"/>
          <w:color w:val="000000" w:themeColor="text1"/>
          <w:sz w:val="24"/>
          <w:szCs w:val="24"/>
          <w:lang w:eastAsia="en-GB"/>
        </w:rPr>
        <w:t>2</w:t>
      </w:r>
      <w:r w:rsidR="00953729" w:rsidRPr="000346B0">
        <w:rPr>
          <w:rFonts w:ascii="Arial" w:hAnsi="Arial" w:cs="Arial"/>
          <w:color w:val="000000" w:themeColor="text1"/>
          <w:sz w:val="24"/>
          <w:szCs w:val="24"/>
          <w:lang w:eastAsia="en-GB"/>
        </w:rPr>
        <w:t>:</w:t>
      </w:r>
    </w:p>
    <w:p w14:paraId="7AB14C0E" w14:textId="27F4BB96" w:rsidR="00A26CAF" w:rsidRPr="000346B0" w:rsidRDefault="00953729" w:rsidP="00953729">
      <w:pPr>
        <w:pStyle w:val="ListParagraph"/>
        <w:numPr>
          <w:ilvl w:val="0"/>
          <w:numId w:val="4"/>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N</w:t>
      </w:r>
      <w:r w:rsidR="00A26CAF" w:rsidRPr="000346B0">
        <w:rPr>
          <w:rFonts w:ascii="Arial" w:hAnsi="Arial" w:cs="Arial"/>
          <w:color w:val="000000" w:themeColor="text1"/>
          <w:lang w:eastAsia="en-GB"/>
        </w:rPr>
        <w:t>ame:</w:t>
      </w:r>
      <w:r w:rsidR="00A26CAF" w:rsidRPr="000346B0">
        <w:rPr>
          <w:rFonts w:ascii="Arial" w:eastAsiaTheme="majorEastAsia" w:hAnsi="Arial" w:cs="Arial"/>
          <w:b/>
          <w:bCs/>
          <w:color w:val="000000" w:themeColor="text1"/>
          <w:lang w:val="en-US"/>
        </w:rPr>
        <w:t xml:space="preserve"> </w:t>
      </w:r>
    </w:p>
    <w:p w14:paraId="7EBFAD1E" w14:textId="38F48556" w:rsidR="00A26CAF" w:rsidRPr="000346B0" w:rsidRDefault="00A26CAF" w:rsidP="00953729">
      <w:pPr>
        <w:pStyle w:val="ListParagraph"/>
        <w:numPr>
          <w:ilvl w:val="0"/>
          <w:numId w:val="4"/>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Role:</w:t>
      </w:r>
      <w:r w:rsidRPr="000346B0">
        <w:rPr>
          <w:rFonts w:ascii="Arial" w:eastAsiaTheme="majorEastAsia" w:hAnsi="Arial" w:cs="Arial"/>
          <w:b/>
          <w:bCs/>
          <w:color w:val="000000" w:themeColor="text1"/>
          <w:lang w:val="en-US"/>
        </w:rPr>
        <w:t xml:space="preserve"> </w:t>
      </w:r>
    </w:p>
    <w:p w14:paraId="1A6157CE" w14:textId="67F79136" w:rsidR="00A26CAF" w:rsidRPr="000346B0" w:rsidRDefault="003739F8" w:rsidP="00953729">
      <w:pPr>
        <w:pStyle w:val="ListParagraph"/>
        <w:numPr>
          <w:ilvl w:val="0"/>
          <w:numId w:val="4"/>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Email:</w:t>
      </w:r>
      <w:r w:rsidR="00A26CAF" w:rsidRPr="000346B0">
        <w:rPr>
          <w:rFonts w:ascii="Arial" w:eastAsiaTheme="majorEastAsia" w:hAnsi="Arial" w:cs="Arial"/>
          <w:b/>
          <w:bCs/>
          <w:color w:val="000000" w:themeColor="text1"/>
          <w:lang w:val="en-US"/>
        </w:rPr>
        <w:t xml:space="preserve"> </w:t>
      </w:r>
    </w:p>
    <w:p w14:paraId="6E9D2398" w14:textId="68362C1F" w:rsidR="00A26CAF" w:rsidRPr="000346B0" w:rsidRDefault="00A26CAF" w:rsidP="00953729">
      <w:pPr>
        <w:pStyle w:val="ListParagraph"/>
        <w:numPr>
          <w:ilvl w:val="0"/>
          <w:numId w:val="4"/>
        </w:numPr>
        <w:spacing w:line="276" w:lineRule="auto"/>
        <w:ind w:left="1080"/>
        <w:rPr>
          <w:rFonts w:ascii="Arial" w:eastAsia="ヒラギノ角ゴ Pro W3" w:hAnsi="Arial" w:cs="Arial"/>
          <w:color w:val="000000" w:themeColor="text1"/>
          <w:lang w:val="en-US"/>
        </w:rPr>
      </w:pPr>
      <w:r w:rsidRPr="000346B0">
        <w:rPr>
          <w:rFonts w:ascii="Arial" w:hAnsi="Arial" w:cs="Arial"/>
          <w:color w:val="000000" w:themeColor="text1"/>
          <w:lang w:eastAsia="en-GB"/>
        </w:rPr>
        <w:t>Location &amp; NHS Region if within the UK:</w:t>
      </w:r>
      <w:r w:rsidRPr="000346B0">
        <w:rPr>
          <w:rFonts w:ascii="Arial" w:eastAsiaTheme="majorEastAsia" w:hAnsi="Arial" w:cs="Arial"/>
          <w:b/>
          <w:bCs/>
          <w:color w:val="000000" w:themeColor="text1"/>
          <w:lang w:val="en-US"/>
        </w:rPr>
        <w:t xml:space="preserve"> </w:t>
      </w:r>
      <w:r w:rsidR="003739F8" w:rsidRPr="000346B0">
        <w:rPr>
          <w:rFonts w:ascii="Arial" w:eastAsia="ヒラギノ角ゴ Pro W3" w:hAnsi="Arial" w:cs="Arial"/>
          <w:color w:val="000000" w:themeColor="text1"/>
          <w:lang w:val="en-US"/>
        </w:rPr>
        <w:t>[</w:t>
      </w:r>
      <w:r w:rsidR="003739F8" w:rsidRPr="000346B0">
        <w:rPr>
          <w:rFonts w:ascii="Arial" w:eastAsia="ヒラギノ角ゴ Pro W3" w:hAnsi="Arial" w:cs="Arial"/>
          <w:i/>
          <w:iCs/>
          <w:color w:val="000000" w:themeColor="text1"/>
          <w:lang w:val="en-US"/>
        </w:rPr>
        <w:t xml:space="preserve">if different </w:t>
      </w:r>
      <w:r w:rsidR="00E6610C" w:rsidRPr="000346B0">
        <w:rPr>
          <w:rFonts w:ascii="Arial" w:eastAsia="ヒラギノ角ゴ Pro W3" w:hAnsi="Arial" w:cs="Arial"/>
          <w:i/>
          <w:iCs/>
          <w:color w:val="000000" w:themeColor="text1"/>
          <w:lang w:val="en-US"/>
        </w:rPr>
        <w:t>from</w:t>
      </w:r>
      <w:r w:rsidR="003739F8" w:rsidRPr="000346B0">
        <w:rPr>
          <w:rFonts w:ascii="Arial" w:eastAsia="ヒラギノ角ゴ Pro W3" w:hAnsi="Arial" w:cs="Arial"/>
          <w:i/>
          <w:iCs/>
          <w:color w:val="000000" w:themeColor="text1"/>
          <w:lang w:val="en-US"/>
        </w:rPr>
        <w:t xml:space="preserve"> </w:t>
      </w:r>
      <w:r w:rsidR="00E6610C" w:rsidRPr="000346B0">
        <w:rPr>
          <w:rFonts w:ascii="Arial" w:eastAsia="ヒラギノ角ゴ Pro W3" w:hAnsi="Arial" w:cs="Arial"/>
          <w:i/>
          <w:iCs/>
          <w:color w:val="000000" w:themeColor="text1"/>
          <w:lang w:val="en-US"/>
        </w:rPr>
        <w:t>Contact 1</w:t>
      </w:r>
      <w:r w:rsidR="00E6610C" w:rsidRPr="000346B0">
        <w:rPr>
          <w:rFonts w:ascii="Arial" w:eastAsia="ヒラギノ角ゴ Pro W3" w:hAnsi="Arial" w:cs="Arial"/>
          <w:color w:val="000000" w:themeColor="text1"/>
          <w:lang w:val="en-US"/>
        </w:rPr>
        <w:t>]</w:t>
      </w:r>
    </w:p>
    <w:p w14:paraId="321F8F1F" w14:textId="0A33A799" w:rsidR="00086C07" w:rsidRPr="000346B0" w:rsidRDefault="00086C07" w:rsidP="00E6610C">
      <w:pPr>
        <w:rPr>
          <w:rFonts w:ascii="Arial" w:hAnsi="Arial" w:cs="Arial"/>
          <w:color w:val="000000" w:themeColor="text1"/>
          <w:sz w:val="24"/>
          <w:szCs w:val="24"/>
        </w:rPr>
      </w:pPr>
    </w:p>
    <w:sectPr w:rsidR="00086C07" w:rsidRPr="000346B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4C8" w14:textId="77777777" w:rsidR="00C76A19" w:rsidRDefault="00C76A19" w:rsidP="00A26CAF">
      <w:pPr>
        <w:spacing w:after="0" w:line="240" w:lineRule="auto"/>
      </w:pPr>
      <w:r>
        <w:separator/>
      </w:r>
    </w:p>
  </w:endnote>
  <w:endnote w:type="continuationSeparator" w:id="0">
    <w:p w14:paraId="02C8DFA8" w14:textId="77777777" w:rsidR="00C76A19" w:rsidRDefault="00C76A19" w:rsidP="00A2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360198"/>
      <w:docPartObj>
        <w:docPartGallery w:val="Page Numbers (Bottom of Page)"/>
        <w:docPartUnique/>
      </w:docPartObj>
    </w:sdtPr>
    <w:sdtEndPr>
      <w:rPr>
        <w:rStyle w:val="PageNumber"/>
      </w:rPr>
    </w:sdtEndPr>
    <w:sdtContent>
      <w:p w14:paraId="633E1272" w14:textId="1733B939" w:rsidR="00E6610C" w:rsidRDefault="00E6610C" w:rsidP="00FF6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1CFD7" w14:textId="77777777" w:rsidR="00E6610C" w:rsidRDefault="00E6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75517"/>
      <w:docPartObj>
        <w:docPartGallery w:val="Page Numbers (Bottom of Page)"/>
        <w:docPartUnique/>
      </w:docPartObj>
    </w:sdtPr>
    <w:sdtEndPr>
      <w:rPr>
        <w:rStyle w:val="PageNumber"/>
      </w:rPr>
    </w:sdtEndPr>
    <w:sdtContent>
      <w:p w14:paraId="72352BC0" w14:textId="56E0E92F" w:rsidR="00E6610C" w:rsidRDefault="00E6610C" w:rsidP="00953729">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9B1643" w14:textId="77777777" w:rsidR="00E6610C" w:rsidRDefault="00E6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11A8" w14:textId="77777777" w:rsidR="00C76A19" w:rsidRDefault="00C76A19" w:rsidP="00A26CAF">
      <w:pPr>
        <w:spacing w:after="0" w:line="240" w:lineRule="auto"/>
      </w:pPr>
      <w:r>
        <w:separator/>
      </w:r>
    </w:p>
  </w:footnote>
  <w:footnote w:type="continuationSeparator" w:id="0">
    <w:p w14:paraId="54E577EE" w14:textId="77777777" w:rsidR="00C76A19" w:rsidRDefault="00C76A19" w:rsidP="00A2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797" w14:textId="10960A99" w:rsidR="00E6610C" w:rsidRPr="00E6610C" w:rsidRDefault="00E6610C">
    <w:pPr>
      <w:pStyle w:val="Header"/>
      <w:rPr>
        <w:rStyle w:val="SubtleEmphasis"/>
      </w:rPr>
    </w:pPr>
    <w:r w:rsidRPr="00E6610C">
      <w:rPr>
        <w:rStyle w:val="SubtleEmphasis"/>
      </w:rPr>
      <w:t>Case Study Template – Centre for Sustainable Healthcare (2022)</w:t>
    </w:r>
    <w:r>
      <w:rPr>
        <w:rStyle w:val="SubtleEmphasi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CA"/>
    <w:multiLevelType w:val="hybridMultilevel"/>
    <w:tmpl w:val="7A6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82A32"/>
    <w:multiLevelType w:val="hybridMultilevel"/>
    <w:tmpl w:val="572CAD84"/>
    <w:lvl w:ilvl="0" w:tplc="52783A92">
      <w:numFmt w:val="bullet"/>
      <w:lvlText w:val="-"/>
      <w:lvlJc w:val="left"/>
      <w:pPr>
        <w:ind w:left="420" w:hanging="360"/>
      </w:pPr>
      <w:rPr>
        <w:rFonts w:ascii="Calibri Light" w:eastAsia="MS Mincho"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51B6772C"/>
    <w:multiLevelType w:val="hybridMultilevel"/>
    <w:tmpl w:val="D5F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77F05"/>
    <w:multiLevelType w:val="hybridMultilevel"/>
    <w:tmpl w:val="724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085507">
    <w:abstractNumId w:val="0"/>
  </w:num>
  <w:num w:numId="2" w16cid:durableId="258485167">
    <w:abstractNumId w:val="1"/>
  </w:num>
  <w:num w:numId="3" w16cid:durableId="1360545541">
    <w:abstractNumId w:val="2"/>
  </w:num>
  <w:num w:numId="4" w16cid:durableId="830484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07"/>
    <w:rsid w:val="000346B0"/>
    <w:rsid w:val="00086C07"/>
    <w:rsid w:val="00110F0F"/>
    <w:rsid w:val="001639EC"/>
    <w:rsid w:val="00215100"/>
    <w:rsid w:val="00343A78"/>
    <w:rsid w:val="003739F8"/>
    <w:rsid w:val="00556A94"/>
    <w:rsid w:val="00693558"/>
    <w:rsid w:val="0076466F"/>
    <w:rsid w:val="007B06DD"/>
    <w:rsid w:val="007F23CF"/>
    <w:rsid w:val="00887E15"/>
    <w:rsid w:val="00953729"/>
    <w:rsid w:val="00956307"/>
    <w:rsid w:val="009E3E90"/>
    <w:rsid w:val="00A26CAF"/>
    <w:rsid w:val="00A51364"/>
    <w:rsid w:val="00B02AD4"/>
    <w:rsid w:val="00C062D0"/>
    <w:rsid w:val="00C76A19"/>
    <w:rsid w:val="00D526A9"/>
    <w:rsid w:val="00D6024E"/>
    <w:rsid w:val="00E00755"/>
    <w:rsid w:val="00E6610C"/>
    <w:rsid w:val="00F85A39"/>
    <w:rsid w:val="00FD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70E5"/>
  <w15:chartTrackingRefBased/>
  <w15:docId w15:val="{A3218726-F102-485F-AF49-E95BDF1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4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two">
    <w:name w:val="Heading level two"/>
    <w:basedOn w:val="Normal"/>
    <w:qFormat/>
    <w:rsid w:val="00086C07"/>
    <w:pPr>
      <w:spacing w:before="120" w:after="240" w:line="260" w:lineRule="exact"/>
      <w:jc w:val="center"/>
    </w:pPr>
    <w:rPr>
      <w:rFonts w:ascii="Calibri Light" w:eastAsia="MS Mincho" w:hAnsi="Calibri Light" w:cs="Times New Roman"/>
      <w:b/>
      <w:color w:val="84BD00"/>
      <w:sz w:val="28"/>
      <w:szCs w:val="24"/>
    </w:rPr>
  </w:style>
  <w:style w:type="paragraph" w:customStyle="1" w:styleId="Headinglevelthree">
    <w:name w:val="Heading level three"/>
    <w:basedOn w:val="Headingleveltwo"/>
    <w:qFormat/>
    <w:rsid w:val="00086C07"/>
    <w:pPr>
      <w:spacing w:before="0" w:after="120" w:line="276" w:lineRule="auto"/>
      <w:jc w:val="left"/>
    </w:pPr>
    <w:rPr>
      <w:rFonts w:cs="Calibri"/>
      <w:b w:val="0"/>
      <w:color w:val="13B0C6"/>
      <w:sz w:val="24"/>
      <w:lang w:val="en" w:eastAsia="en-GB"/>
    </w:rPr>
  </w:style>
  <w:style w:type="paragraph" w:customStyle="1" w:styleId="Headinglevelone">
    <w:name w:val="Heading level one"/>
    <w:basedOn w:val="Normal"/>
    <w:qFormat/>
    <w:rsid w:val="00086C07"/>
    <w:pPr>
      <w:spacing w:after="0" w:line="240" w:lineRule="auto"/>
      <w:jc w:val="center"/>
    </w:pPr>
    <w:rPr>
      <w:rFonts w:asciiTheme="majorHAnsi" w:eastAsia="MS Mincho" w:hAnsiTheme="majorHAnsi" w:cs="Calibri"/>
      <w:b/>
      <w:color w:val="13B0C6"/>
      <w:sz w:val="40"/>
      <w:szCs w:val="40"/>
      <w:lang w:val="en"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086C07"/>
    <w:pPr>
      <w:spacing w:after="0" w:line="240" w:lineRule="auto"/>
      <w:ind w:left="720"/>
    </w:pPr>
    <w:rPr>
      <w:rFonts w:ascii="Cambria" w:eastAsia="MS Mincho" w:hAnsi="Cambria" w:cs="Times New Roman"/>
      <w:sz w:val="24"/>
      <w:szCs w:val="24"/>
    </w:rPr>
  </w:style>
  <w:style w:type="table" w:styleId="TableGrid">
    <w:name w:val="Table Grid"/>
    <w:basedOn w:val="TableNormal"/>
    <w:uiPriority w:val="59"/>
    <w:rsid w:val="00086C0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C07"/>
    <w:pPr>
      <w:spacing w:after="120" w:line="276" w:lineRule="auto"/>
    </w:pPr>
    <w:rPr>
      <w:rFonts w:eastAsia="ヒラギノ角ゴ Pro W3" w:cs="Times New Roman"/>
      <w:color w:val="000000"/>
      <w:szCs w:val="20"/>
      <w:lang w:val="en-US"/>
    </w:rPr>
  </w:style>
  <w:style w:type="paragraph" w:customStyle="1" w:styleId="Casestudyheading1">
    <w:name w:val="Case study heading 1"/>
    <w:basedOn w:val="Normal"/>
    <w:link w:val="Casestudyheading1Char"/>
    <w:qFormat/>
    <w:rsid w:val="00086C07"/>
    <w:pPr>
      <w:keepNext/>
      <w:keepLines/>
      <w:spacing w:after="280" w:line="360" w:lineRule="atLeast"/>
      <w:outlineLvl w:val="0"/>
    </w:pPr>
    <w:rPr>
      <w:rFonts w:ascii="Arial" w:eastAsiaTheme="majorEastAsia" w:hAnsi="Arial" w:cs="Arial"/>
      <w:color w:val="005EB8"/>
      <w:sz w:val="40"/>
      <w:szCs w:val="40"/>
      <w:lang w:val="en-US"/>
    </w:rPr>
  </w:style>
  <w:style w:type="character" w:customStyle="1" w:styleId="Casestudyheading1Char">
    <w:name w:val="Case study heading 1 Char"/>
    <w:basedOn w:val="DefaultParagraphFont"/>
    <w:link w:val="Casestudyheading1"/>
    <w:rsid w:val="00086C07"/>
    <w:rPr>
      <w:rFonts w:ascii="Arial" w:eastAsiaTheme="majorEastAsia" w:hAnsi="Arial" w:cs="Arial"/>
      <w:color w:val="005EB8"/>
      <w:sz w:val="40"/>
      <w:szCs w:val="40"/>
      <w:lang w:val="en-US"/>
    </w:rPr>
  </w:style>
  <w:style w:type="character" w:styleId="Strong">
    <w:name w:val="Strong"/>
    <w:basedOn w:val="DefaultParagraphFont"/>
    <w:uiPriority w:val="22"/>
    <w:qFormat/>
    <w:rsid w:val="00086C07"/>
    <w:rPr>
      <w:b/>
      <w:bCs/>
    </w:rPr>
  </w:style>
  <w:style w:type="paragraph" w:customStyle="1" w:styleId="NHSHeadingone">
    <w:name w:val="NHS Heading one"/>
    <w:basedOn w:val="Heading2"/>
    <w:link w:val="NHSHeadingoneChar"/>
    <w:qFormat/>
    <w:rsid w:val="00086C07"/>
    <w:pPr>
      <w:spacing w:after="200" w:line="300" w:lineRule="auto"/>
    </w:pPr>
    <w:rPr>
      <w:rFonts w:ascii="Arial" w:hAnsi="Arial"/>
      <w:color w:val="005EB8"/>
      <w:sz w:val="36"/>
      <w:szCs w:val="36"/>
      <w:lang w:val="en-US"/>
    </w:rPr>
  </w:style>
  <w:style w:type="character" w:customStyle="1" w:styleId="NHSHeadingoneChar">
    <w:name w:val="NHS Heading one Char"/>
    <w:basedOn w:val="DefaultParagraphFont"/>
    <w:link w:val="NHSHeadingone"/>
    <w:rsid w:val="00086C07"/>
    <w:rPr>
      <w:rFonts w:ascii="Arial" w:eastAsiaTheme="majorEastAsia" w:hAnsi="Arial" w:cstheme="majorBidi"/>
      <w:color w:val="005EB8"/>
      <w:sz w:val="36"/>
      <w:szCs w:val="36"/>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86C07"/>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086C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AF"/>
  </w:style>
  <w:style w:type="paragraph" w:styleId="Footer">
    <w:name w:val="footer"/>
    <w:basedOn w:val="Normal"/>
    <w:link w:val="FooterChar"/>
    <w:uiPriority w:val="99"/>
    <w:unhideWhenUsed/>
    <w:rsid w:val="00A2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AF"/>
  </w:style>
  <w:style w:type="paragraph" w:styleId="Title">
    <w:name w:val="Title"/>
    <w:basedOn w:val="Normal"/>
    <w:next w:val="Normal"/>
    <w:link w:val="TitleChar"/>
    <w:uiPriority w:val="10"/>
    <w:qFormat/>
    <w:rsid w:val="00764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6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66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46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6F"/>
    <w:rPr>
      <w:rFonts w:eastAsiaTheme="minorEastAsia"/>
      <w:color w:val="5A5A5A" w:themeColor="text1" w:themeTint="A5"/>
      <w:spacing w:val="15"/>
    </w:rPr>
  </w:style>
  <w:style w:type="character" w:styleId="SubtleEmphasis">
    <w:name w:val="Subtle Emphasis"/>
    <w:basedOn w:val="DefaultParagraphFont"/>
    <w:uiPriority w:val="19"/>
    <w:qFormat/>
    <w:rsid w:val="0076466F"/>
    <w:rPr>
      <w:i/>
      <w:iCs/>
      <w:color w:val="404040" w:themeColor="text1" w:themeTint="BF"/>
    </w:rPr>
  </w:style>
  <w:style w:type="character" w:customStyle="1" w:styleId="Heading3Char">
    <w:name w:val="Heading 3 Char"/>
    <w:basedOn w:val="DefaultParagraphFont"/>
    <w:link w:val="Heading3"/>
    <w:uiPriority w:val="9"/>
    <w:rsid w:val="0076466F"/>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E6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McLean</dc:creator>
  <cp:keywords/>
  <dc:description/>
  <cp:lastModifiedBy>Jessie Frost</cp:lastModifiedBy>
  <cp:revision>2</cp:revision>
  <dcterms:created xsi:type="dcterms:W3CDTF">2023-09-14T13:46:00Z</dcterms:created>
  <dcterms:modified xsi:type="dcterms:W3CDTF">2023-09-14T13:46:00Z</dcterms:modified>
</cp:coreProperties>
</file>