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12ADE" w14:textId="398CC2BB" w:rsidR="002109B8" w:rsidRPr="00184D31" w:rsidRDefault="0045468A">
      <w:pPr>
        <w:rPr>
          <w:b/>
          <w:bCs/>
          <w:sz w:val="36"/>
          <w:szCs w:val="36"/>
        </w:rPr>
      </w:pPr>
      <w:r w:rsidRPr="00184D31">
        <w:rPr>
          <w:b/>
          <w:bCs/>
          <w:sz w:val="36"/>
          <w:szCs w:val="36"/>
        </w:rPr>
        <w:t>Deprescribing</w:t>
      </w:r>
      <w:r w:rsidR="00B138A8" w:rsidRPr="00184D31">
        <w:rPr>
          <w:b/>
          <w:bCs/>
          <w:sz w:val="36"/>
          <w:szCs w:val="36"/>
        </w:rPr>
        <w:t xml:space="preserve"> </w:t>
      </w:r>
      <w:r w:rsidR="00184D31" w:rsidRPr="00184D31">
        <w:rPr>
          <w:b/>
          <w:bCs/>
          <w:sz w:val="36"/>
          <w:szCs w:val="36"/>
        </w:rPr>
        <w:t>within medication reviews</w:t>
      </w:r>
      <w:r w:rsidR="002F2D00" w:rsidRPr="00184D31">
        <w:rPr>
          <w:b/>
          <w:bCs/>
          <w:sz w:val="36"/>
          <w:szCs w:val="36"/>
        </w:rPr>
        <w:t xml:space="preserve"> in Central Liverpool Primary Care Network.</w:t>
      </w:r>
    </w:p>
    <w:p w14:paraId="7B1295AE" w14:textId="77777777" w:rsidR="002109B8" w:rsidRDefault="0045468A">
      <w:pPr>
        <w:rPr>
          <w:b/>
          <w:bCs/>
        </w:rPr>
      </w:pPr>
      <w:r w:rsidRPr="002F2D00">
        <w:rPr>
          <w:b/>
          <w:bCs/>
        </w:rPr>
        <w:t xml:space="preserve"> </w:t>
      </w:r>
      <w:r w:rsidR="002109B8">
        <w:rPr>
          <w:b/>
          <w:bCs/>
        </w:rPr>
        <w:t>Dec</w:t>
      </w:r>
      <w:r w:rsidRPr="002F2D00">
        <w:rPr>
          <w:b/>
          <w:bCs/>
        </w:rPr>
        <w:t xml:space="preserve"> 202</w:t>
      </w:r>
      <w:r w:rsidR="002109B8">
        <w:rPr>
          <w:b/>
          <w:bCs/>
        </w:rPr>
        <w:t>3-Aug 24</w:t>
      </w:r>
      <w:r w:rsidRPr="002F2D00">
        <w:rPr>
          <w:b/>
          <w:bCs/>
        </w:rPr>
        <w:t xml:space="preserve"> </w:t>
      </w:r>
    </w:p>
    <w:p w14:paraId="42F27FB6" w14:textId="77777777" w:rsidR="00EE1718" w:rsidRDefault="00EE1718"/>
    <w:p w14:paraId="162B489C" w14:textId="71722496" w:rsidR="002109B8" w:rsidRPr="00833025" w:rsidRDefault="00833025">
      <w:r>
        <w:t xml:space="preserve">Kitchen, C; </w:t>
      </w:r>
      <w:r w:rsidR="00EB18F2">
        <w:t xml:space="preserve">Condemine, C; </w:t>
      </w:r>
      <w:r w:rsidR="004D317B">
        <w:t>To</w:t>
      </w:r>
      <w:r w:rsidR="00EB18F2">
        <w:t>, K-</w:t>
      </w:r>
      <w:r w:rsidR="004D317B">
        <w:t>B</w:t>
      </w:r>
      <w:r w:rsidR="00EB18F2">
        <w:t>; Mohammad, N;</w:t>
      </w:r>
      <w:r w:rsidR="003B7297">
        <w:t xml:space="preserve"> Scott, E;</w:t>
      </w:r>
      <w:r w:rsidR="00EB18F2">
        <w:t xml:space="preserve"> </w:t>
      </w:r>
      <w:r w:rsidR="003B7297">
        <w:t>van Ginneken, N.</w:t>
      </w:r>
    </w:p>
    <w:p w14:paraId="436E265F" w14:textId="77777777" w:rsidR="00EE1718" w:rsidRDefault="00EE1718">
      <w:pPr>
        <w:rPr>
          <w:b/>
          <w:bCs/>
        </w:rPr>
      </w:pPr>
    </w:p>
    <w:p w14:paraId="5FF24C3B" w14:textId="6C1A2E46" w:rsidR="00325C01" w:rsidRPr="002F2D00" w:rsidRDefault="002109B8">
      <w:pPr>
        <w:rPr>
          <w:b/>
          <w:bCs/>
        </w:rPr>
      </w:pPr>
      <w:r>
        <w:rPr>
          <w:b/>
          <w:bCs/>
        </w:rPr>
        <w:t xml:space="preserve">Funder: </w:t>
      </w:r>
      <w:r w:rsidR="008D793D" w:rsidRPr="002F2D00">
        <w:rPr>
          <w:b/>
          <w:bCs/>
        </w:rPr>
        <w:t>Q Network</w:t>
      </w:r>
      <w:r w:rsidR="0045468A" w:rsidRPr="002F2D00">
        <w:rPr>
          <w:b/>
          <w:bCs/>
        </w:rPr>
        <w:t xml:space="preserve"> </w:t>
      </w:r>
    </w:p>
    <w:p w14:paraId="2EEE7B5D" w14:textId="77777777" w:rsidR="00184D31" w:rsidRDefault="00184D31"/>
    <w:p w14:paraId="18C9D195" w14:textId="77777777" w:rsidR="00184D31" w:rsidRDefault="00184D31"/>
    <w:p w14:paraId="5795FDF1" w14:textId="185233A6" w:rsidR="00C23FAF" w:rsidRPr="00C23FAF" w:rsidRDefault="00C23FAF">
      <w:pPr>
        <w:rPr>
          <w:b/>
          <w:bCs/>
        </w:rPr>
      </w:pPr>
      <w:r>
        <w:rPr>
          <w:b/>
          <w:bCs/>
        </w:rPr>
        <w:t>Introduction</w:t>
      </w:r>
    </w:p>
    <w:p w14:paraId="45409847" w14:textId="4BC06195" w:rsidR="0045468A" w:rsidRPr="00C23FAF" w:rsidRDefault="000E5B62">
      <w:r w:rsidRPr="00C23FAF">
        <w:t xml:space="preserve">Prescriptions form </w:t>
      </w:r>
      <w:r w:rsidR="006B162F" w:rsidRPr="00C23FAF">
        <w:t>6</w:t>
      </w:r>
      <w:r w:rsidR="00854C7A" w:rsidRPr="00C23FAF">
        <w:t>0% of the NHS primary care’s carbon footprint. We also know that over prescribing, polyp</w:t>
      </w:r>
      <w:r w:rsidR="00C23FAF" w:rsidRPr="00C23FAF">
        <w:t>h</w:t>
      </w:r>
      <w:r w:rsidR="00854C7A" w:rsidRPr="00C23FAF">
        <w:t xml:space="preserve">armacy and inappropriate prescribing </w:t>
      </w:r>
      <w:r w:rsidR="00887806" w:rsidRPr="00C23FAF">
        <w:t>worsen quality of care. For example prescribing anticholinergics in frailty is associated with increased mortality. Polypharmacy usually leads to several complex side effects, thus impacting on quality of life, and makes people more prone to fall, to be hospitalised and die.</w:t>
      </w:r>
      <w:r w:rsidR="00D601DF">
        <w:rPr>
          <w:rStyle w:val="FootnoteReference"/>
        </w:rPr>
        <w:footnoteReference w:id="1"/>
      </w:r>
      <w:r w:rsidR="00CF56A5">
        <w:rPr>
          <w:vertAlign w:val="superscript"/>
        </w:rPr>
        <w:t>,</w:t>
      </w:r>
      <w:r w:rsidR="00F758EE">
        <w:rPr>
          <w:rStyle w:val="FootnoteReference"/>
        </w:rPr>
        <w:footnoteReference w:id="2"/>
      </w:r>
      <w:r w:rsidR="00CF56A5">
        <w:rPr>
          <w:vertAlign w:val="superscript"/>
        </w:rPr>
        <w:t>,</w:t>
      </w:r>
      <w:r w:rsidR="00F758EE">
        <w:rPr>
          <w:rStyle w:val="FootnoteReference"/>
        </w:rPr>
        <w:footnoteReference w:id="3"/>
      </w:r>
      <w:r w:rsidR="00887806" w:rsidRPr="00C23FAF">
        <w:t xml:space="preserve"> </w:t>
      </w:r>
      <w:r w:rsidR="00133B3E" w:rsidRPr="00C23FAF">
        <w:t xml:space="preserve">Several studies also suggest </w:t>
      </w:r>
      <w:r w:rsidR="00C4504C">
        <w:t>deprescribing</w:t>
      </w:r>
      <w:r w:rsidR="00133B3E" w:rsidRPr="00C23FAF">
        <w:t xml:space="preserve"> is</w:t>
      </w:r>
      <w:r w:rsidR="00C4504C">
        <w:t xml:space="preserve"> not </w:t>
      </w:r>
      <w:r w:rsidR="00133B3E" w:rsidRPr="00C23FAF">
        <w:t>harmful</w:t>
      </w:r>
      <w:r w:rsidR="00E920B6">
        <w:t xml:space="preserve"> and may </w:t>
      </w:r>
      <w:r w:rsidR="0077049A">
        <w:t>help longer term outcomes</w:t>
      </w:r>
      <w:r w:rsidR="006817F5">
        <w:t xml:space="preserve">. Particularly </w:t>
      </w:r>
      <w:r w:rsidR="00C4504C">
        <w:t>i</w:t>
      </w:r>
      <w:r w:rsidR="00133B3E" w:rsidRPr="00C23FAF">
        <w:t xml:space="preserve">n frailty </w:t>
      </w:r>
      <w:r w:rsidR="006817F5">
        <w:t>or</w:t>
      </w:r>
      <w:r w:rsidR="00133B3E" w:rsidRPr="00C23FAF">
        <w:t xml:space="preserve"> </w:t>
      </w:r>
      <w:r w:rsidR="00133B3E" w:rsidRPr="001A27CF">
        <w:t>those &gt;</w:t>
      </w:r>
      <w:r w:rsidR="006817F5" w:rsidRPr="001A27CF">
        <w:t xml:space="preserve"> 75 years old</w:t>
      </w:r>
      <w:r w:rsidR="006B162F" w:rsidRPr="001A27CF">
        <w:t xml:space="preserve">, </w:t>
      </w:r>
      <w:r w:rsidR="00133B3E" w:rsidRPr="001A27CF">
        <w:t xml:space="preserve"> </w:t>
      </w:r>
      <w:r w:rsidR="00C4504C">
        <w:t>treating</w:t>
      </w:r>
      <w:r w:rsidR="00133B3E" w:rsidRPr="00C23FAF">
        <w:t xml:space="preserve"> </w:t>
      </w:r>
      <w:r w:rsidR="00E920B6">
        <w:t xml:space="preserve">for example </w:t>
      </w:r>
      <w:r w:rsidR="00702C56">
        <w:t xml:space="preserve">diabetes </w:t>
      </w:r>
      <w:r w:rsidR="00C4504C">
        <w:t>or</w:t>
      </w:r>
      <w:r w:rsidR="00133B3E" w:rsidRPr="00C23FAF">
        <w:t xml:space="preserve"> hypertension</w:t>
      </w:r>
      <w:r w:rsidR="00C4504C">
        <w:t xml:space="preserve"> </w:t>
      </w:r>
      <w:r w:rsidR="00702C56">
        <w:t xml:space="preserve">to </w:t>
      </w:r>
      <w:r w:rsidR="00E920B6">
        <w:t xml:space="preserve">usual guideline targets </w:t>
      </w:r>
      <w:r w:rsidR="00C4504C">
        <w:t>may have more benefits than harm</w:t>
      </w:r>
      <w:r w:rsidR="00E920B6">
        <w:t>.</w:t>
      </w:r>
      <w:r w:rsidR="00CF56A5">
        <w:rPr>
          <w:rStyle w:val="FootnoteReference"/>
        </w:rPr>
        <w:footnoteReference w:id="4"/>
      </w:r>
      <w:r w:rsidR="00CF56A5">
        <w:t xml:space="preserve"> </w:t>
      </w:r>
      <w:r w:rsidR="00E920B6">
        <w:t>Deprescribing</w:t>
      </w:r>
      <w:r w:rsidR="00C4504C">
        <w:t xml:space="preserve"> and </w:t>
      </w:r>
      <w:r w:rsidR="00E920B6">
        <w:t>relaxing</w:t>
      </w:r>
      <w:r w:rsidR="00C4504C">
        <w:t xml:space="preserve"> someone’s </w:t>
      </w:r>
      <w:r w:rsidR="00E920B6">
        <w:t xml:space="preserve">blood pressure targets </w:t>
      </w:r>
      <w:r w:rsidR="00C4504C">
        <w:t>m</w:t>
      </w:r>
      <w:r w:rsidR="00702C56">
        <w:t>ay prevent falls from hypotension</w:t>
      </w:r>
      <w:r w:rsidR="0077049A">
        <w:t>. Also once frail, th</w:t>
      </w:r>
      <w:r w:rsidR="00C063F1">
        <w:t>ese medications’</w:t>
      </w:r>
      <w:r w:rsidR="0077049A">
        <w:t xml:space="preserve"> </w:t>
      </w:r>
      <w:r w:rsidR="00C063F1">
        <w:t xml:space="preserve">risk reduction benefits (preventing </w:t>
      </w:r>
      <w:r w:rsidR="00E920B6">
        <w:t>stroke</w:t>
      </w:r>
      <w:r w:rsidR="00C063F1">
        <w:t xml:space="preserve">, heart attacks and kidney disease) </w:t>
      </w:r>
      <w:r w:rsidR="00E920B6">
        <w:t xml:space="preserve"> once frail </w:t>
      </w:r>
      <w:r w:rsidR="00C063F1">
        <w:t xml:space="preserve">are very minimal. </w:t>
      </w:r>
      <w:r w:rsidR="006228A1" w:rsidRPr="00C23FAF">
        <w:t>Deprescribing is therefore a win-win-win: It is good for the patient – we know it reduces hospital admissions. It is also better for the environment and sa</w:t>
      </w:r>
      <w:r w:rsidR="006228A1" w:rsidRPr="00811EC4">
        <w:t xml:space="preserve">ves </w:t>
      </w:r>
      <w:r w:rsidR="006228A1" w:rsidRPr="00C23FAF">
        <w:t>money.</w:t>
      </w:r>
    </w:p>
    <w:p w14:paraId="3EC4EB98" w14:textId="5F9C7215" w:rsidR="00114E10" w:rsidRDefault="0045468A">
      <w:r>
        <w:t xml:space="preserve">We agreed as </w:t>
      </w:r>
      <w:r w:rsidR="00271644">
        <w:t>the</w:t>
      </w:r>
      <w:r w:rsidR="00835CD4">
        <w:t xml:space="preserve"> Central</w:t>
      </w:r>
      <w:r w:rsidR="00271644">
        <w:t xml:space="preserve"> Liverpool</w:t>
      </w:r>
      <w:r>
        <w:t xml:space="preserve"> PCN</w:t>
      </w:r>
      <w:r w:rsidR="00835CD4">
        <w:t xml:space="preserve"> </w:t>
      </w:r>
      <w:r>
        <w:t>to use the funding to focus on</w:t>
      </w:r>
      <w:r w:rsidR="00E93EA6">
        <w:t xml:space="preserve"> existing</w:t>
      </w:r>
      <w:r>
        <w:t xml:space="preserve"> structured polypharmacy medication reviews</w:t>
      </w:r>
      <w:r w:rsidR="00E93EA6">
        <w:t xml:space="preserve">, but make sure they included a focus on </w:t>
      </w:r>
      <w:r>
        <w:t>whether items could be deprescribed</w:t>
      </w:r>
      <w:r w:rsidR="00114E10">
        <w:t xml:space="preserve">. </w:t>
      </w:r>
    </w:p>
    <w:p w14:paraId="4EDCF46F" w14:textId="30556D21" w:rsidR="00C17ABB" w:rsidRDefault="00C17ABB">
      <w:r>
        <w:t>The aim was to</w:t>
      </w:r>
      <w:r w:rsidR="00E93EA6">
        <w:t xml:space="preserve"> reduce unnecessary side effects and interactions for patients, as well as</w:t>
      </w:r>
      <w:r>
        <w:t xml:space="preserve"> reduce </w:t>
      </w:r>
      <w:r w:rsidR="00E93EA6">
        <w:t xml:space="preserve">both </w:t>
      </w:r>
      <w:r>
        <w:t xml:space="preserve">the cost </w:t>
      </w:r>
      <w:r w:rsidR="00E93EA6">
        <w:t>and</w:t>
      </w:r>
      <w:r>
        <w:t xml:space="preserve"> the carbon </w:t>
      </w:r>
      <w:r w:rsidR="002F2D00">
        <w:t>footprint</w:t>
      </w:r>
      <w:r>
        <w:t xml:space="preserve"> of prescribing.</w:t>
      </w:r>
    </w:p>
    <w:p w14:paraId="264FE042" w14:textId="38DE9A94" w:rsidR="00114E10" w:rsidRDefault="00114E10">
      <w:r>
        <w:lastRenderedPageBreak/>
        <w:t xml:space="preserve">Objective: </w:t>
      </w:r>
    </w:p>
    <w:p w14:paraId="6F461C7D" w14:textId="05813B3E" w:rsidR="00AD49D5" w:rsidRDefault="00114E10">
      <w:r>
        <w:t xml:space="preserve">To deprescribe </w:t>
      </w:r>
      <w:r w:rsidR="002F2D00">
        <w:t>medicines appropriately</w:t>
      </w:r>
      <w:r w:rsidR="009D52E1">
        <w:t xml:space="preserve"> in patients who are on</w:t>
      </w:r>
      <w:r w:rsidR="001B588F">
        <w:t xml:space="preserve"> 10 or more repeat medications,</w:t>
      </w:r>
      <w:r w:rsidR="00AD49D5">
        <w:t xml:space="preserve"> focussing on medicines that were</w:t>
      </w:r>
      <w:r w:rsidR="00C17ABB">
        <w:t>:</w:t>
      </w:r>
      <w:r w:rsidR="0045468A">
        <w:t xml:space="preserve"> </w:t>
      </w:r>
    </w:p>
    <w:p w14:paraId="487BAE90" w14:textId="677DCB0F" w:rsidR="0045468A" w:rsidRDefault="0045468A" w:rsidP="00AD49D5">
      <w:pPr>
        <w:pStyle w:val="ListParagraph"/>
        <w:numPr>
          <w:ilvl w:val="0"/>
          <w:numId w:val="1"/>
        </w:numPr>
      </w:pPr>
      <w:r>
        <w:t>Not being used</w:t>
      </w:r>
    </w:p>
    <w:p w14:paraId="620EB64A" w14:textId="6857AE90" w:rsidR="0045468A" w:rsidRDefault="0045468A" w:rsidP="00DC67E9">
      <w:pPr>
        <w:pStyle w:val="ListParagraph"/>
        <w:numPr>
          <w:ilvl w:val="0"/>
          <w:numId w:val="1"/>
        </w:numPr>
      </w:pPr>
      <w:r>
        <w:t xml:space="preserve">Not </w:t>
      </w:r>
      <w:r w:rsidR="0039500E">
        <w:t>felt to be</w:t>
      </w:r>
      <w:r w:rsidR="005719B2">
        <w:t xml:space="preserve"> </w:t>
      </w:r>
      <w:r>
        <w:t>effective</w:t>
      </w:r>
      <w:r w:rsidR="00DC67E9">
        <w:t>/ of no benefit</w:t>
      </w:r>
    </w:p>
    <w:p w14:paraId="346BD7F5" w14:textId="5F4E8AB3" w:rsidR="0045468A" w:rsidRDefault="0045468A" w:rsidP="0045468A">
      <w:pPr>
        <w:pStyle w:val="ListParagraph"/>
        <w:numPr>
          <w:ilvl w:val="0"/>
          <w:numId w:val="1"/>
        </w:numPr>
      </w:pPr>
      <w:r>
        <w:t>Duplic</w:t>
      </w:r>
      <w:r w:rsidR="00DC67E9">
        <w:t>ated</w:t>
      </w:r>
      <w:r>
        <w:t xml:space="preserve"> item</w:t>
      </w:r>
    </w:p>
    <w:p w14:paraId="20D25F3A" w14:textId="49CA6D13" w:rsidR="00DC67E9" w:rsidRDefault="001B588F" w:rsidP="0045468A">
      <w:pPr>
        <w:pStyle w:val="ListParagraph"/>
        <w:numPr>
          <w:ilvl w:val="0"/>
          <w:numId w:val="1"/>
        </w:numPr>
      </w:pPr>
      <w:r>
        <w:t>Potentially harmful:</w:t>
      </w:r>
      <w:r w:rsidR="00DC67E9">
        <w:t xml:space="preserve"> anticholinergics</w:t>
      </w:r>
      <w:r w:rsidR="00F772A4">
        <w:t>, as well as unnecessary medication/ those that should not be prescribed</w:t>
      </w:r>
      <w:r w:rsidR="002F2D00">
        <w:t>.</w:t>
      </w:r>
    </w:p>
    <w:p w14:paraId="0CAA482A" w14:textId="3D5D5AB6" w:rsidR="00643478" w:rsidRPr="00E74081" w:rsidRDefault="00643478" w:rsidP="0045468A">
      <w:pPr>
        <w:pStyle w:val="ListParagraph"/>
        <w:numPr>
          <w:ilvl w:val="0"/>
          <w:numId w:val="1"/>
        </w:numPr>
      </w:pPr>
      <w:r w:rsidRPr="00E74081">
        <w:t>Causing side effects</w:t>
      </w:r>
      <w:r w:rsidR="003449BB">
        <w:t>.</w:t>
      </w:r>
    </w:p>
    <w:p w14:paraId="274E62B1" w14:textId="77777777" w:rsidR="000F1F99" w:rsidRDefault="000F1F99" w:rsidP="0045468A"/>
    <w:p w14:paraId="6F64DD14" w14:textId="6FAAE924" w:rsidR="00C17ABB" w:rsidRPr="00C23FAF" w:rsidRDefault="00C17ABB" w:rsidP="0045468A">
      <w:pPr>
        <w:rPr>
          <w:b/>
          <w:bCs/>
        </w:rPr>
      </w:pPr>
      <w:r w:rsidRPr="00C23FAF">
        <w:rPr>
          <w:b/>
          <w:bCs/>
        </w:rPr>
        <w:t>Methods:</w:t>
      </w:r>
    </w:p>
    <w:p w14:paraId="62D28391" w14:textId="16100A6C" w:rsidR="00C17ABB" w:rsidRDefault="008E3A79" w:rsidP="0045468A">
      <w:r>
        <w:t xml:space="preserve">Three of </w:t>
      </w:r>
      <w:r w:rsidR="005A2B67">
        <w:t>14</w:t>
      </w:r>
      <w:r w:rsidR="00E07B65">
        <w:t xml:space="preserve"> (13.5WTE)</w:t>
      </w:r>
      <w:r w:rsidR="005A2B67">
        <w:t xml:space="preserve"> </w:t>
      </w:r>
      <w:r w:rsidR="000F1F99">
        <w:t xml:space="preserve">network </w:t>
      </w:r>
      <w:r w:rsidR="004A4A7F">
        <w:t xml:space="preserve">pharmacists </w:t>
      </w:r>
      <w:r w:rsidR="000F1F99">
        <w:t>incorporated into</w:t>
      </w:r>
      <w:r w:rsidR="004A4A7F">
        <w:t xml:space="preserve"> their SMR reviews </w:t>
      </w:r>
      <w:r w:rsidR="000F1F99">
        <w:t xml:space="preserve">the </w:t>
      </w:r>
      <w:r w:rsidR="004A4A7F">
        <w:t xml:space="preserve">deprescribing </w:t>
      </w:r>
      <w:r w:rsidR="000F1F99">
        <w:t xml:space="preserve">aims </w:t>
      </w:r>
      <w:r w:rsidR="004A4A7F">
        <w:t>as described above</w:t>
      </w:r>
      <w:r w:rsidR="000F1F99">
        <w:t xml:space="preserve"> from October 2023 to July 2024.</w:t>
      </w:r>
      <w:r w:rsidR="008B201D">
        <w:t xml:space="preserve"> We used the STOPP criteria</w:t>
      </w:r>
      <w:r w:rsidR="00DD3AA1">
        <w:t xml:space="preserve"> to identify the main drugs worth reducing,</w:t>
      </w:r>
      <w:r w:rsidR="008B201D">
        <w:t xml:space="preserve"> </w:t>
      </w:r>
      <w:r w:rsidR="00DD3AA1">
        <w:t xml:space="preserve">calculated </w:t>
      </w:r>
      <w:r w:rsidR="008B201D">
        <w:t>the ACB score</w:t>
      </w:r>
      <w:r w:rsidR="00A43863">
        <w:t xml:space="preserve"> and applied the deprescribing principles</w:t>
      </w:r>
      <w:r w:rsidR="00DD3AA1">
        <w:t xml:space="preserve"> of frailty (understand </w:t>
      </w:r>
      <w:r w:rsidR="00C031FC">
        <w:t xml:space="preserve">the patient and their context, adherence, weight loss, side effects, most beneficial drugs, one or two step at a time). </w:t>
      </w:r>
      <w:r w:rsidR="005A2B67">
        <w:t>We compared their</w:t>
      </w:r>
      <w:r w:rsidR="002A5E92">
        <w:t xml:space="preserve"> deprescribing rates to 2 other pharmacists over the same time period.</w:t>
      </w:r>
    </w:p>
    <w:p w14:paraId="7D0756DA" w14:textId="77777777" w:rsidR="000F1F99" w:rsidRDefault="000F1F99" w:rsidP="0045468A"/>
    <w:p w14:paraId="181616CB" w14:textId="30566256" w:rsidR="007F2B25" w:rsidRPr="00C23FAF" w:rsidDel="00C17ABB" w:rsidRDefault="004A4A7F" w:rsidP="0045468A">
      <w:pPr>
        <w:rPr>
          <w:b/>
          <w:bCs/>
        </w:rPr>
      </w:pPr>
      <w:r w:rsidRPr="00C23FAF">
        <w:rPr>
          <w:b/>
          <w:bCs/>
        </w:rPr>
        <w:t>Results:</w:t>
      </w:r>
    </w:p>
    <w:p w14:paraId="0D359C3B" w14:textId="449439A4" w:rsidR="00141F79" w:rsidRPr="00446129" w:rsidRDefault="000452EE" w:rsidP="0045468A">
      <w:pPr>
        <w:rPr>
          <w:i/>
          <w:iCs/>
        </w:rPr>
      </w:pPr>
      <w:r>
        <w:rPr>
          <w:i/>
          <w:iCs/>
        </w:rPr>
        <w:t>Patient characteristics</w:t>
      </w:r>
    </w:p>
    <w:p w14:paraId="5D84F686" w14:textId="4C09F21A" w:rsidR="004B2E68" w:rsidRDefault="0045468A" w:rsidP="0045468A">
      <w:r>
        <w:t xml:space="preserve">We reviewed 81 patients </w:t>
      </w:r>
      <w:r w:rsidR="009C6E0D">
        <w:t>(consecutive patients that the pharmacists were seeing in each practice)</w:t>
      </w:r>
      <w:r w:rsidR="007244DC">
        <w:t xml:space="preserve"> </w:t>
      </w:r>
      <w:r w:rsidR="004163AB">
        <w:t xml:space="preserve">from </w:t>
      </w:r>
      <w:r w:rsidR="00380414">
        <w:t>5</w:t>
      </w:r>
      <w:r w:rsidR="0098703D">
        <w:t xml:space="preserve"> practices</w:t>
      </w:r>
      <w:r w:rsidR="00433C2D">
        <w:t xml:space="preserve"> in Central Liverpool PCN</w:t>
      </w:r>
      <w:r w:rsidR="003F5EF0">
        <w:t xml:space="preserve"> </w:t>
      </w:r>
      <w:r w:rsidR="007244DC">
        <w:t>where</w:t>
      </w:r>
      <w:r w:rsidR="003F5EF0">
        <w:t xml:space="preserve"> the 3 network pharmacists work</w:t>
      </w:r>
      <w:r w:rsidR="0098703D">
        <w:t xml:space="preserve"> </w:t>
      </w:r>
      <w:r w:rsidR="00380414">
        <w:t>(table 1</w:t>
      </w:r>
      <w:r w:rsidR="007F2B25">
        <w:t>)</w:t>
      </w:r>
      <w:r w:rsidR="003F5EF0">
        <w:t>.</w:t>
      </w:r>
      <w:r w:rsidR="000C0FE0">
        <w:t xml:space="preserve"> </w:t>
      </w:r>
      <w:r w:rsidR="003F5EF0">
        <w:t>Forty eight</w:t>
      </w:r>
      <w:r w:rsidR="000C0FE0">
        <w:t xml:space="preserve"> (59%) </w:t>
      </w:r>
      <w:r w:rsidR="003F5EF0">
        <w:t xml:space="preserve">patients </w:t>
      </w:r>
      <w:r w:rsidR="000C0FE0">
        <w:t>were female</w:t>
      </w:r>
      <w:r w:rsidR="007E723B">
        <w:t>. Their average age was 65 years ol</w:t>
      </w:r>
      <w:r w:rsidR="00A85A98">
        <w:t>d (range:</w:t>
      </w:r>
      <w:r w:rsidR="000D475D">
        <w:t xml:space="preserve"> 41-93yo).</w:t>
      </w:r>
    </w:p>
    <w:p w14:paraId="15903341" w14:textId="77777777" w:rsidR="00A3168F" w:rsidRPr="00C23FAF" w:rsidRDefault="00A3168F" w:rsidP="00A3168F">
      <w:pPr>
        <w:rPr>
          <w:u w:val="single"/>
        </w:rPr>
      </w:pPr>
      <w:r w:rsidRPr="00C23FAF">
        <w:rPr>
          <w:u w:val="single"/>
        </w:rPr>
        <w:t>Table 1: numbers of reviews per practice</w:t>
      </w:r>
    </w:p>
    <w:tbl>
      <w:tblPr>
        <w:tblpPr w:leftFromText="180" w:rightFromText="180" w:vertAnchor="text" w:tblpY="1"/>
        <w:tblOverlap w:val="never"/>
        <w:tblW w:w="3720" w:type="dxa"/>
        <w:tblLook w:val="04A0" w:firstRow="1" w:lastRow="0" w:firstColumn="1" w:lastColumn="0" w:noHBand="0" w:noVBand="1"/>
      </w:tblPr>
      <w:tblGrid>
        <w:gridCol w:w="2420"/>
        <w:gridCol w:w="1300"/>
      </w:tblGrid>
      <w:tr w:rsidR="00A3168F" w:rsidRPr="009C26A3" w14:paraId="01945FD3" w14:textId="77777777" w:rsidTr="0010073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0F77" w14:textId="77777777" w:rsidR="00A3168F" w:rsidRPr="009C26A3" w:rsidRDefault="00A3168F" w:rsidP="0010073B">
            <w:pPr>
              <w:spacing w:after="0" w:line="240" w:lineRule="auto"/>
              <w:rPr>
                <w:rFonts w:ascii="Aptos Narrow" w:eastAsia="Times New Roman" w:hAnsi="Aptos Narrow" w:cs="Times New Roman"/>
                <w:b/>
                <w:bCs/>
                <w:color w:val="000000"/>
                <w:kern w:val="0"/>
                <w:lang w:eastAsia="en-GB"/>
                <w14:ligatures w14:val="none"/>
              </w:rPr>
            </w:pPr>
            <w:r w:rsidRPr="009C26A3">
              <w:rPr>
                <w:rFonts w:ascii="Aptos Narrow" w:eastAsia="Times New Roman" w:hAnsi="Aptos Narrow" w:cs="Times New Roman"/>
                <w:b/>
                <w:bCs/>
                <w:color w:val="000000"/>
                <w:kern w:val="0"/>
                <w:lang w:eastAsia="en-GB"/>
                <w14:ligatures w14:val="none"/>
              </w:rPr>
              <w:t>Practice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B5D33AE" w14:textId="77777777" w:rsidR="00A3168F" w:rsidRPr="009C26A3" w:rsidRDefault="00A3168F" w:rsidP="0010073B">
            <w:pPr>
              <w:spacing w:after="0" w:line="240" w:lineRule="auto"/>
              <w:rPr>
                <w:rFonts w:ascii="Aptos Narrow" w:eastAsia="Times New Roman" w:hAnsi="Aptos Narrow" w:cs="Times New Roman"/>
                <w:b/>
                <w:bCs/>
                <w:color w:val="000000"/>
                <w:kern w:val="0"/>
                <w:lang w:eastAsia="en-GB"/>
                <w14:ligatures w14:val="none"/>
              </w:rPr>
            </w:pPr>
            <w:r w:rsidRPr="009C26A3">
              <w:rPr>
                <w:rFonts w:ascii="Aptos Narrow" w:eastAsia="Times New Roman" w:hAnsi="Aptos Narrow" w:cs="Times New Roman"/>
                <w:b/>
                <w:bCs/>
                <w:color w:val="000000"/>
                <w:kern w:val="0"/>
                <w:lang w:eastAsia="en-GB"/>
                <w14:ligatures w14:val="none"/>
              </w:rPr>
              <w:t>Total</w:t>
            </w:r>
          </w:p>
        </w:tc>
      </w:tr>
      <w:tr w:rsidR="00A3168F" w:rsidRPr="009C26A3" w14:paraId="20F81C9C" w14:textId="77777777" w:rsidTr="0010073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42CCB50" w14:textId="77777777" w:rsidR="00A3168F" w:rsidRPr="009C26A3" w:rsidRDefault="00A3168F" w:rsidP="0010073B">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S</w:t>
            </w:r>
            <w:r w:rsidRPr="009C26A3">
              <w:rPr>
                <w:rFonts w:ascii="Aptos Narrow" w:eastAsia="Times New Roman" w:hAnsi="Aptos Narrow" w:cs="Times New Roman"/>
                <w:color w:val="000000"/>
                <w:kern w:val="0"/>
                <w:lang w:eastAsia="en-GB"/>
                <w14:ligatures w14:val="none"/>
              </w:rPr>
              <w:t>t James Health Centre</w:t>
            </w:r>
          </w:p>
        </w:tc>
        <w:tc>
          <w:tcPr>
            <w:tcW w:w="1300" w:type="dxa"/>
            <w:tcBorders>
              <w:top w:val="nil"/>
              <w:left w:val="nil"/>
              <w:bottom w:val="single" w:sz="4" w:space="0" w:color="auto"/>
              <w:right w:val="single" w:sz="4" w:space="0" w:color="auto"/>
            </w:tcBorders>
            <w:shd w:val="clear" w:color="auto" w:fill="auto"/>
            <w:noWrap/>
            <w:vAlign w:val="bottom"/>
            <w:hideMark/>
          </w:tcPr>
          <w:p w14:paraId="3580959B" w14:textId="77777777" w:rsidR="00A3168F" w:rsidRPr="009C26A3" w:rsidRDefault="00A3168F" w:rsidP="0010073B">
            <w:pPr>
              <w:spacing w:after="0" w:line="240" w:lineRule="auto"/>
              <w:jc w:val="right"/>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17</w:t>
            </w:r>
          </w:p>
        </w:tc>
      </w:tr>
      <w:tr w:rsidR="00A3168F" w:rsidRPr="009C26A3" w14:paraId="4B9A25FE" w14:textId="77777777" w:rsidTr="0010073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96E5ECB" w14:textId="77777777" w:rsidR="00A3168F" w:rsidRPr="009C26A3" w:rsidRDefault="00A3168F" w:rsidP="0010073B">
            <w:pPr>
              <w:spacing w:after="0" w:line="240" w:lineRule="auto"/>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Brownlow Group Practice</w:t>
            </w:r>
          </w:p>
        </w:tc>
        <w:tc>
          <w:tcPr>
            <w:tcW w:w="1300" w:type="dxa"/>
            <w:tcBorders>
              <w:top w:val="nil"/>
              <w:left w:val="nil"/>
              <w:bottom w:val="single" w:sz="4" w:space="0" w:color="auto"/>
              <w:right w:val="single" w:sz="4" w:space="0" w:color="auto"/>
            </w:tcBorders>
            <w:shd w:val="clear" w:color="auto" w:fill="auto"/>
            <w:noWrap/>
            <w:vAlign w:val="bottom"/>
            <w:hideMark/>
          </w:tcPr>
          <w:p w14:paraId="4A376E95" w14:textId="77777777" w:rsidR="00A3168F" w:rsidRPr="009C26A3" w:rsidRDefault="00A3168F" w:rsidP="0010073B">
            <w:pPr>
              <w:spacing w:after="0" w:line="240" w:lineRule="auto"/>
              <w:jc w:val="right"/>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28</w:t>
            </w:r>
          </w:p>
        </w:tc>
      </w:tr>
      <w:tr w:rsidR="00A3168F" w:rsidRPr="009C26A3" w14:paraId="5ABE24EB" w14:textId="77777777" w:rsidTr="0010073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3B04F45" w14:textId="77777777" w:rsidR="00A3168F" w:rsidRPr="009C26A3" w:rsidRDefault="00A3168F" w:rsidP="0010073B">
            <w:pPr>
              <w:spacing w:after="0" w:line="240" w:lineRule="auto"/>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Kensington Park</w:t>
            </w:r>
          </w:p>
        </w:tc>
        <w:tc>
          <w:tcPr>
            <w:tcW w:w="1300" w:type="dxa"/>
            <w:tcBorders>
              <w:top w:val="nil"/>
              <w:left w:val="nil"/>
              <w:bottom w:val="single" w:sz="4" w:space="0" w:color="auto"/>
              <w:right w:val="single" w:sz="4" w:space="0" w:color="auto"/>
            </w:tcBorders>
            <w:shd w:val="clear" w:color="auto" w:fill="auto"/>
            <w:noWrap/>
            <w:vAlign w:val="bottom"/>
            <w:hideMark/>
          </w:tcPr>
          <w:p w14:paraId="4DDE0DA4" w14:textId="77777777" w:rsidR="00A3168F" w:rsidRPr="009C26A3" w:rsidRDefault="00A3168F" w:rsidP="0010073B">
            <w:pPr>
              <w:spacing w:after="0" w:line="240" w:lineRule="auto"/>
              <w:jc w:val="right"/>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9</w:t>
            </w:r>
          </w:p>
        </w:tc>
      </w:tr>
      <w:tr w:rsidR="00A3168F" w:rsidRPr="009C26A3" w14:paraId="16224FA3" w14:textId="77777777" w:rsidTr="0010073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B9B2B21" w14:textId="77777777" w:rsidR="00A3168F" w:rsidRPr="009C26A3" w:rsidRDefault="00A3168F" w:rsidP="0010073B">
            <w:pPr>
              <w:spacing w:after="0" w:line="240" w:lineRule="auto"/>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Princes Park</w:t>
            </w:r>
          </w:p>
        </w:tc>
        <w:tc>
          <w:tcPr>
            <w:tcW w:w="1300" w:type="dxa"/>
            <w:tcBorders>
              <w:top w:val="nil"/>
              <w:left w:val="nil"/>
              <w:bottom w:val="single" w:sz="4" w:space="0" w:color="auto"/>
              <w:right w:val="single" w:sz="4" w:space="0" w:color="auto"/>
            </w:tcBorders>
            <w:shd w:val="clear" w:color="auto" w:fill="auto"/>
            <w:noWrap/>
            <w:vAlign w:val="bottom"/>
            <w:hideMark/>
          </w:tcPr>
          <w:p w14:paraId="1AD27013" w14:textId="77777777" w:rsidR="00A3168F" w:rsidRPr="009C26A3" w:rsidRDefault="00A3168F" w:rsidP="0010073B">
            <w:pPr>
              <w:spacing w:after="0" w:line="240" w:lineRule="auto"/>
              <w:jc w:val="right"/>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16</w:t>
            </w:r>
          </w:p>
        </w:tc>
      </w:tr>
      <w:tr w:rsidR="00A3168F" w:rsidRPr="009C26A3" w14:paraId="2393B59C" w14:textId="77777777" w:rsidTr="0010073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D55E5AD" w14:textId="77777777" w:rsidR="00A3168F" w:rsidRPr="009C26A3" w:rsidRDefault="00A3168F" w:rsidP="0010073B">
            <w:pPr>
              <w:spacing w:after="0" w:line="240" w:lineRule="auto"/>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Abercromby Health Centre</w:t>
            </w:r>
          </w:p>
        </w:tc>
        <w:tc>
          <w:tcPr>
            <w:tcW w:w="1300" w:type="dxa"/>
            <w:tcBorders>
              <w:top w:val="nil"/>
              <w:left w:val="nil"/>
              <w:bottom w:val="single" w:sz="4" w:space="0" w:color="auto"/>
              <w:right w:val="single" w:sz="4" w:space="0" w:color="auto"/>
            </w:tcBorders>
            <w:shd w:val="clear" w:color="auto" w:fill="auto"/>
            <w:noWrap/>
            <w:vAlign w:val="bottom"/>
            <w:hideMark/>
          </w:tcPr>
          <w:p w14:paraId="2358DFF0" w14:textId="77777777" w:rsidR="00A3168F" w:rsidRPr="009C26A3" w:rsidRDefault="00A3168F" w:rsidP="0010073B">
            <w:pPr>
              <w:spacing w:after="0" w:line="240" w:lineRule="auto"/>
              <w:jc w:val="right"/>
              <w:rPr>
                <w:rFonts w:ascii="Aptos Narrow" w:eastAsia="Times New Roman" w:hAnsi="Aptos Narrow" w:cs="Times New Roman"/>
                <w:color w:val="000000"/>
                <w:kern w:val="0"/>
                <w:lang w:eastAsia="en-GB"/>
                <w14:ligatures w14:val="none"/>
              </w:rPr>
            </w:pPr>
            <w:r w:rsidRPr="009C26A3">
              <w:rPr>
                <w:rFonts w:ascii="Aptos Narrow" w:eastAsia="Times New Roman" w:hAnsi="Aptos Narrow" w:cs="Times New Roman"/>
                <w:color w:val="000000"/>
                <w:kern w:val="0"/>
                <w:lang w:eastAsia="en-GB"/>
                <w14:ligatures w14:val="none"/>
              </w:rPr>
              <w:t>11</w:t>
            </w:r>
          </w:p>
        </w:tc>
      </w:tr>
      <w:tr w:rsidR="00A3168F" w:rsidRPr="009C26A3" w14:paraId="6073A57D" w14:textId="77777777" w:rsidTr="0010073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4AAD6B8" w14:textId="77777777" w:rsidR="00A3168F" w:rsidRPr="009C26A3" w:rsidRDefault="00A3168F" w:rsidP="0010073B">
            <w:pPr>
              <w:spacing w:after="0" w:line="240" w:lineRule="auto"/>
              <w:rPr>
                <w:rFonts w:ascii="Aptos Narrow" w:eastAsia="Times New Roman" w:hAnsi="Aptos Narrow" w:cs="Times New Roman"/>
                <w:b/>
                <w:bCs/>
                <w:color w:val="000000"/>
                <w:kern w:val="0"/>
                <w:lang w:eastAsia="en-GB"/>
                <w14:ligatures w14:val="none"/>
              </w:rPr>
            </w:pPr>
            <w:r w:rsidRPr="009C26A3">
              <w:rPr>
                <w:rFonts w:ascii="Aptos Narrow" w:eastAsia="Times New Roman" w:hAnsi="Aptos Narrow" w:cs="Times New Roman"/>
                <w:b/>
                <w:bCs/>
                <w:color w:val="000000"/>
                <w:kern w:val="0"/>
                <w:lang w:eastAsia="en-GB"/>
                <w14:ligatures w14:val="none"/>
              </w:rPr>
              <w:t>TOTAL</w:t>
            </w:r>
          </w:p>
        </w:tc>
        <w:tc>
          <w:tcPr>
            <w:tcW w:w="1300" w:type="dxa"/>
            <w:tcBorders>
              <w:top w:val="nil"/>
              <w:left w:val="nil"/>
              <w:bottom w:val="single" w:sz="4" w:space="0" w:color="auto"/>
              <w:right w:val="single" w:sz="4" w:space="0" w:color="auto"/>
            </w:tcBorders>
            <w:shd w:val="clear" w:color="auto" w:fill="auto"/>
            <w:noWrap/>
            <w:vAlign w:val="bottom"/>
            <w:hideMark/>
          </w:tcPr>
          <w:p w14:paraId="58FC41C2" w14:textId="77777777" w:rsidR="00A3168F" w:rsidRPr="009C26A3" w:rsidRDefault="00A3168F" w:rsidP="0010073B">
            <w:pPr>
              <w:spacing w:after="0" w:line="240" w:lineRule="auto"/>
              <w:jc w:val="right"/>
              <w:rPr>
                <w:rFonts w:ascii="Aptos Narrow" w:eastAsia="Times New Roman" w:hAnsi="Aptos Narrow" w:cs="Times New Roman"/>
                <w:b/>
                <w:bCs/>
                <w:color w:val="000000"/>
                <w:kern w:val="0"/>
                <w:lang w:eastAsia="en-GB"/>
                <w14:ligatures w14:val="none"/>
              </w:rPr>
            </w:pPr>
            <w:r w:rsidRPr="009C26A3">
              <w:rPr>
                <w:rFonts w:ascii="Aptos Narrow" w:eastAsia="Times New Roman" w:hAnsi="Aptos Narrow" w:cs="Times New Roman"/>
                <w:b/>
                <w:bCs/>
                <w:color w:val="000000"/>
                <w:kern w:val="0"/>
                <w:lang w:eastAsia="en-GB"/>
                <w14:ligatures w14:val="none"/>
              </w:rPr>
              <w:t>81</w:t>
            </w:r>
          </w:p>
        </w:tc>
      </w:tr>
    </w:tbl>
    <w:p w14:paraId="018035C1" w14:textId="067E6602" w:rsidR="00887661" w:rsidRDefault="00887661" w:rsidP="0045468A"/>
    <w:p w14:paraId="61FAAB52" w14:textId="77777777" w:rsidR="00C23FAF" w:rsidRDefault="00C23FAF" w:rsidP="0045468A"/>
    <w:p w14:paraId="415FADF9" w14:textId="77777777" w:rsidR="00C23FAF" w:rsidRDefault="00C23FAF" w:rsidP="0045468A"/>
    <w:p w14:paraId="7579EDE7" w14:textId="77777777" w:rsidR="00C23FAF" w:rsidRDefault="00C23FAF" w:rsidP="0045468A"/>
    <w:p w14:paraId="200D3771" w14:textId="77777777" w:rsidR="00C23FAF" w:rsidRDefault="00C23FAF" w:rsidP="0045468A"/>
    <w:p w14:paraId="53D74894" w14:textId="77777777" w:rsidR="00C23FAF" w:rsidRDefault="00C23FAF" w:rsidP="0045468A"/>
    <w:p w14:paraId="28F41E01" w14:textId="77777777" w:rsidR="00C23FAF" w:rsidRDefault="00C23FAF" w:rsidP="0045468A"/>
    <w:p w14:paraId="08233557" w14:textId="55C39C36" w:rsidR="00887661" w:rsidRDefault="00887661" w:rsidP="0045468A">
      <w:r>
        <w:t>Across Central Liverpool PCN</w:t>
      </w:r>
      <w:r w:rsidR="006B162F">
        <w:t xml:space="preserve"> which has 120000 patients,</w:t>
      </w:r>
      <w:r>
        <w:t xml:space="preserve"> 4878</w:t>
      </w:r>
      <w:r w:rsidR="006B162F">
        <w:t xml:space="preserve"> (4%)</w:t>
      </w:r>
      <w:r>
        <w:t xml:space="preserve"> patients are on 10 medications or more</w:t>
      </w:r>
      <w:r w:rsidR="00A3168F">
        <w:t xml:space="preserve"> (Table 2).</w:t>
      </w:r>
    </w:p>
    <w:p w14:paraId="3230C99B" w14:textId="77777777" w:rsidR="001F774B" w:rsidRDefault="001F774B" w:rsidP="0045468A">
      <w:pPr>
        <w:rPr>
          <w:u w:val="single"/>
        </w:rPr>
      </w:pPr>
    </w:p>
    <w:p w14:paraId="36097647" w14:textId="77777777" w:rsidR="001F774B" w:rsidRDefault="001F774B" w:rsidP="0045468A">
      <w:pPr>
        <w:rPr>
          <w:u w:val="single"/>
        </w:rPr>
      </w:pPr>
    </w:p>
    <w:p w14:paraId="57714332" w14:textId="14B31A6D" w:rsidR="00A3168F" w:rsidRPr="00C23FAF" w:rsidRDefault="00A3168F" w:rsidP="0045468A">
      <w:pPr>
        <w:rPr>
          <w:u w:val="single"/>
        </w:rPr>
      </w:pPr>
      <w:r w:rsidRPr="00C23FAF">
        <w:rPr>
          <w:u w:val="single"/>
        </w:rPr>
        <w:lastRenderedPageBreak/>
        <w:t>Table 2: Number of patients on &gt;</w:t>
      </w:r>
      <w:r w:rsidR="00EF1A70" w:rsidRPr="00C23FAF">
        <w:rPr>
          <w:u w:val="single"/>
        </w:rPr>
        <w:t>=10 medicines on repeat prescriptions.</w:t>
      </w:r>
    </w:p>
    <w:tbl>
      <w:tblPr>
        <w:tblW w:w="3460" w:type="dxa"/>
        <w:tblInd w:w="-1" w:type="dxa"/>
        <w:tblCellMar>
          <w:left w:w="0" w:type="dxa"/>
          <w:right w:w="0" w:type="dxa"/>
        </w:tblCellMar>
        <w:tblLook w:val="04A0" w:firstRow="1" w:lastRow="0" w:firstColumn="1" w:lastColumn="0" w:noHBand="0" w:noVBand="1"/>
      </w:tblPr>
      <w:tblGrid>
        <w:gridCol w:w="1851"/>
        <w:gridCol w:w="1609"/>
      </w:tblGrid>
      <w:tr w:rsidR="00887661" w14:paraId="50BAAA90" w14:textId="77777777" w:rsidTr="00887661">
        <w:trPr>
          <w:trHeight w:val="288"/>
        </w:trPr>
        <w:tc>
          <w:tcPr>
            <w:tcW w:w="346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B63923" w14:textId="77777777" w:rsidR="00887661" w:rsidRDefault="00887661">
            <w:pPr>
              <w:jc w:val="center"/>
              <w:rPr>
                <w:rFonts w:ascii="Aptos Narrow" w:hAnsi="Aptos Narrow"/>
                <w:b/>
                <w:bCs/>
                <w:color w:val="000000"/>
                <w:lang w:eastAsia="en-GB"/>
                <w14:ligatures w14:val="none"/>
              </w:rPr>
            </w:pPr>
            <w:r>
              <w:rPr>
                <w:rFonts w:ascii="Aptos Narrow" w:hAnsi="Aptos Narrow"/>
                <w:b/>
                <w:bCs/>
                <w:color w:val="000000"/>
                <w:lang w:eastAsia="en-GB"/>
                <w14:ligatures w14:val="none"/>
              </w:rPr>
              <w:t>18 or over on 10+ repeat meds</w:t>
            </w:r>
          </w:p>
        </w:tc>
      </w:tr>
      <w:tr w:rsidR="00887661" w14:paraId="6A3DE0AE"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2E2EA8"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Practice</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C09C6E"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Patient number</w:t>
            </w:r>
          </w:p>
        </w:tc>
      </w:tr>
      <w:tr w:rsidR="00887661" w14:paraId="40FFF2FB"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E1604E"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Abercromby</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387C28"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390</w:t>
            </w:r>
          </w:p>
        </w:tc>
      </w:tr>
      <w:tr w:rsidR="00887661" w14:paraId="1391D4C8"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19691E"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Albion</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266E3"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344</w:t>
            </w:r>
          </w:p>
        </w:tc>
      </w:tr>
      <w:tr w:rsidR="00887661" w14:paraId="19536975"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9CA69D"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Brownlow Central</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0CA74"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789</w:t>
            </w:r>
          </w:p>
        </w:tc>
      </w:tr>
      <w:tr w:rsidR="00887661" w14:paraId="1BDE0784"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017284"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Dingle</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2FC18"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432</w:t>
            </w:r>
          </w:p>
        </w:tc>
      </w:tr>
      <w:tr w:rsidR="00887661" w14:paraId="55829191"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D30635"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Elms</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A1DC05"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718</w:t>
            </w:r>
          </w:p>
        </w:tc>
      </w:tr>
      <w:tr w:rsidR="00887661" w14:paraId="1002E820"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75B25"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Kensington</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104A65"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287</w:t>
            </w:r>
          </w:p>
        </w:tc>
      </w:tr>
      <w:tr w:rsidR="00887661" w14:paraId="5455EE36"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8FC886"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Marybone</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C9FA9"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199</w:t>
            </w:r>
          </w:p>
        </w:tc>
      </w:tr>
      <w:tr w:rsidR="00887661" w14:paraId="17F15773"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A062F5"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Princes Park</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14CEF"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521</w:t>
            </w:r>
          </w:p>
        </w:tc>
      </w:tr>
      <w:tr w:rsidR="00887661" w14:paraId="65FC9A57"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49C77"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St James</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E331DC"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278</w:t>
            </w:r>
          </w:p>
        </w:tc>
      </w:tr>
      <w:tr w:rsidR="00887661" w14:paraId="6C473171"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B9D825"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Vauxhall</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5C36E"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920</w:t>
            </w:r>
          </w:p>
        </w:tc>
      </w:tr>
      <w:tr w:rsidR="00887661" w14:paraId="6403B02D" w14:textId="77777777" w:rsidTr="00887661">
        <w:trPr>
          <w:trHeight w:val="288"/>
        </w:trPr>
        <w:tc>
          <w:tcPr>
            <w:tcW w:w="1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0BE21" w14:textId="77777777" w:rsidR="00887661" w:rsidRDefault="00887661">
            <w:pPr>
              <w:rPr>
                <w:rFonts w:ascii="Aptos Narrow" w:hAnsi="Aptos Narrow"/>
                <w:b/>
                <w:bCs/>
                <w:color w:val="000000"/>
                <w:lang w:eastAsia="en-GB"/>
                <w14:ligatures w14:val="none"/>
              </w:rPr>
            </w:pPr>
            <w:r>
              <w:rPr>
                <w:rFonts w:ascii="Aptos Narrow" w:hAnsi="Aptos Narrow"/>
                <w:b/>
                <w:bCs/>
                <w:color w:val="000000"/>
                <w:lang w:eastAsia="en-GB"/>
                <w14:ligatures w14:val="none"/>
              </w:rPr>
              <w:t>Total</w:t>
            </w:r>
          </w:p>
        </w:tc>
        <w:tc>
          <w:tcPr>
            <w:tcW w:w="16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CAB80E" w14:textId="77777777" w:rsidR="00887661" w:rsidRDefault="00887661">
            <w:pPr>
              <w:jc w:val="right"/>
              <w:rPr>
                <w:rFonts w:ascii="Aptos Narrow" w:hAnsi="Aptos Narrow"/>
                <w:color w:val="000000"/>
                <w:lang w:eastAsia="en-GB"/>
                <w14:ligatures w14:val="none"/>
              </w:rPr>
            </w:pPr>
            <w:r>
              <w:rPr>
                <w:rFonts w:ascii="Aptos Narrow" w:hAnsi="Aptos Narrow"/>
                <w:color w:val="000000"/>
                <w:lang w:eastAsia="en-GB"/>
                <w14:ligatures w14:val="none"/>
              </w:rPr>
              <w:t>4878</w:t>
            </w:r>
          </w:p>
        </w:tc>
      </w:tr>
    </w:tbl>
    <w:p w14:paraId="50C7D12E" w14:textId="5D689B68" w:rsidR="00887661" w:rsidRDefault="00887661" w:rsidP="0045468A">
      <w:r>
        <w:t xml:space="preserve">During our short study we reviewed 81 of </w:t>
      </w:r>
      <w:r w:rsidR="001A22B4">
        <w:t>4878</w:t>
      </w:r>
      <w:r>
        <w:t xml:space="preserve"> patients</w:t>
      </w:r>
      <w:r w:rsidR="001A22B4">
        <w:t xml:space="preserve"> (</w:t>
      </w:r>
      <w:r w:rsidR="008E3A79">
        <w:t>1.7%)</w:t>
      </w:r>
      <w:r>
        <w:t xml:space="preserve"> from 5 of the PCN practices</w:t>
      </w:r>
      <w:r w:rsidR="00E74081">
        <w:t>.</w:t>
      </w:r>
    </w:p>
    <w:p w14:paraId="5EF19BE7" w14:textId="552E652F" w:rsidR="00604632" w:rsidRDefault="00604632" w:rsidP="00604632">
      <w:r>
        <w:t xml:space="preserve">Patients included were on between 10 and 25 items (average 14.7 items per script, 36% </w:t>
      </w:r>
      <w:r w:rsidR="009C6F72">
        <w:t xml:space="preserve">of these were </w:t>
      </w:r>
      <w:r>
        <w:t>variable repeat</w:t>
      </w:r>
      <w:r w:rsidR="009C6F72">
        <w:t>s</w:t>
      </w:r>
      <w:r>
        <w:t>)</w:t>
      </w:r>
      <w:r w:rsidR="00EF1A70">
        <w:t xml:space="preserve"> (</w:t>
      </w:r>
      <w:r w:rsidR="00283CA5">
        <w:t>Figure 1)</w:t>
      </w:r>
      <w:r w:rsidR="00E073AC">
        <w:t>. Across the 81 patients we review</w:t>
      </w:r>
      <w:r w:rsidR="00E74081">
        <w:t>ed</w:t>
      </w:r>
      <w:r w:rsidR="00E073AC">
        <w:t xml:space="preserve"> 1191 items. </w:t>
      </w:r>
    </w:p>
    <w:p w14:paraId="7BB15DE0" w14:textId="78D37DC6" w:rsidR="00283CA5" w:rsidRPr="00C23FAF" w:rsidRDefault="00283CA5" w:rsidP="00604632">
      <w:pPr>
        <w:rPr>
          <w:u w:val="single"/>
        </w:rPr>
      </w:pPr>
      <w:r w:rsidRPr="00C23FAF">
        <w:rPr>
          <w:u w:val="single"/>
        </w:rPr>
        <w:t>Figure 1:</w:t>
      </w:r>
      <w:r w:rsidR="00A96A17">
        <w:rPr>
          <w:u w:val="single"/>
        </w:rPr>
        <w:t xml:space="preserve"> Number of repeat medications per patient (n=81)</w:t>
      </w:r>
    </w:p>
    <w:p w14:paraId="018E5F13" w14:textId="782F7367" w:rsidR="00604632" w:rsidRPr="00446129" w:rsidRDefault="00FB74EC" w:rsidP="0045468A">
      <w:pPr>
        <w:rPr>
          <w:i/>
          <w:iCs/>
          <w:u w:val="single"/>
        </w:rPr>
      </w:pPr>
      <w:r>
        <w:rPr>
          <w:noProof/>
        </w:rPr>
        <w:drawing>
          <wp:inline distT="0" distB="0" distL="0" distR="0" wp14:anchorId="4F6B1DE5" wp14:editId="0CFD9FC7">
            <wp:extent cx="4629150" cy="3133725"/>
            <wp:effectExtent l="0" t="0" r="0" b="9525"/>
            <wp:docPr id="1959325456" name="Chart 1">
              <a:extLst xmlns:a="http://schemas.openxmlformats.org/drawingml/2006/main">
                <a:ext uri="{FF2B5EF4-FFF2-40B4-BE49-F238E27FC236}">
                  <a16:creationId xmlns:a16="http://schemas.microsoft.com/office/drawing/2014/main" id="{27D98AFA-8DD6-3C78-72BF-0DD396CB4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8BD504" w14:textId="2797D5A8" w:rsidR="0045468A" w:rsidRDefault="0045468A" w:rsidP="0045468A">
      <w:r>
        <w:lastRenderedPageBreak/>
        <w:t>The reviews took between 20 and 101 minutes (average 27minutes</w:t>
      </w:r>
      <w:r w:rsidR="000B71B1">
        <w:t xml:space="preserve"> per review)</w:t>
      </w:r>
      <w:r>
        <w:t>)</w:t>
      </w:r>
      <w:r w:rsidR="004E7675">
        <w:t xml:space="preserve">, which on average was only an extra 7 minutes </w:t>
      </w:r>
      <w:r w:rsidR="00850B46">
        <w:t>compared to the 20 minutes an SMR</w:t>
      </w:r>
      <w:r w:rsidR="004E7675">
        <w:t xml:space="preserve"> </w:t>
      </w:r>
      <w:r w:rsidR="00850B46">
        <w:t>is allocated</w:t>
      </w:r>
      <w:r w:rsidR="004E7675" w:rsidRPr="00A53B5E">
        <w:t xml:space="preserve">. </w:t>
      </w:r>
      <w:r w:rsidR="004E5363" w:rsidRPr="00A53B5E">
        <w:t>In terms of actual contact time with patient</w:t>
      </w:r>
      <w:r w:rsidR="00850B46" w:rsidRPr="00A53B5E">
        <w:t>,</w:t>
      </w:r>
      <w:r w:rsidR="004E5363" w:rsidRPr="00A53B5E">
        <w:t xml:space="preserve"> the length was similar to normal </w:t>
      </w:r>
      <w:r w:rsidR="0058149E" w:rsidRPr="00A53B5E">
        <w:t xml:space="preserve">(approx. 20 </w:t>
      </w:r>
      <w:r w:rsidR="00551E98" w:rsidRPr="00A53B5E">
        <w:t xml:space="preserve">-30 </w:t>
      </w:r>
      <w:r w:rsidR="0058149E" w:rsidRPr="00A53B5E">
        <w:t>mins</w:t>
      </w:r>
      <w:r w:rsidR="00551E98" w:rsidRPr="00A53B5E">
        <w:t xml:space="preserve"> dependin</w:t>
      </w:r>
      <w:r w:rsidR="00A825E9" w:rsidRPr="00A53B5E">
        <w:t>g</w:t>
      </w:r>
      <w:r w:rsidR="00551E98" w:rsidRPr="00A53B5E">
        <w:t xml:space="preserve"> on the complexity of the review</w:t>
      </w:r>
      <w:r w:rsidR="00850B46" w:rsidRPr="00A53B5E">
        <w:t xml:space="preserve"> according to pharmacists</w:t>
      </w:r>
      <w:r w:rsidR="0058149E" w:rsidRPr="00A53B5E">
        <w:t>)</w:t>
      </w:r>
      <w:r w:rsidR="00A96A17" w:rsidRPr="00A53B5E">
        <w:t>.</w:t>
      </w:r>
    </w:p>
    <w:p w14:paraId="6D087F19" w14:textId="07BE3FA4" w:rsidR="0043768E" w:rsidRDefault="0009316C" w:rsidP="0045468A">
      <w:r>
        <w:t>The average anticholinergic score was 3.7 (range</w:t>
      </w:r>
      <w:r w:rsidR="00EC291F">
        <w:t xml:space="preserve"> 1-11)</w:t>
      </w:r>
      <w:r w:rsidR="007A2D69">
        <w:t>. Successful reduction</w:t>
      </w:r>
      <w:r w:rsidR="00551E98">
        <w:t>s</w:t>
      </w:r>
      <w:r w:rsidR="007A2D69">
        <w:t xml:space="preserve"> were in </w:t>
      </w:r>
      <w:r w:rsidR="00D3522F">
        <w:t>3/81</w:t>
      </w:r>
      <w:r w:rsidR="007A2D69">
        <w:t xml:space="preserve"> patient</w:t>
      </w:r>
      <w:r w:rsidR="00D3522F">
        <w:t>s only</w:t>
      </w:r>
      <w:r w:rsidR="007A2D69">
        <w:t xml:space="preserve"> (co-careldopa</w:t>
      </w:r>
      <w:r w:rsidR="00E46354">
        <w:t>, famotidine</w:t>
      </w:r>
      <w:r w:rsidR="0073629E">
        <w:t>, lansoprazole</w:t>
      </w:r>
      <w:r w:rsidR="00D3522F">
        <w:t xml:space="preserve">) and were in people with a low baseline anticholinergic score (&lt;2). </w:t>
      </w:r>
      <w:r w:rsidR="00F30513">
        <w:t>20% of patients (16 in total) reported side effects</w:t>
      </w:r>
      <w:r w:rsidR="00283CA5">
        <w:t xml:space="preserve"> (Figure 2)</w:t>
      </w:r>
      <w:r w:rsidR="002412DD">
        <w:t>.</w:t>
      </w:r>
    </w:p>
    <w:p w14:paraId="19929192" w14:textId="6E9D7CAC" w:rsidR="00283CA5" w:rsidRPr="00446129" w:rsidRDefault="00AF3734" w:rsidP="0045468A">
      <w:pPr>
        <w:rPr>
          <w:u w:val="single"/>
        </w:rPr>
      </w:pPr>
      <w:r>
        <w:rPr>
          <w:u w:val="single"/>
        </w:rPr>
        <w:t>Figure 2: Percentage of patients experiencing side effects</w:t>
      </w:r>
    </w:p>
    <w:p w14:paraId="253018F7" w14:textId="7D097A7C" w:rsidR="0043768E" w:rsidRDefault="00F30513" w:rsidP="0045468A">
      <w:r>
        <w:rPr>
          <w:noProof/>
        </w:rPr>
        <w:drawing>
          <wp:inline distT="0" distB="0" distL="0" distR="0" wp14:anchorId="6FACE00E" wp14:editId="40F9693E">
            <wp:extent cx="2838450" cy="1804035"/>
            <wp:effectExtent l="0" t="0" r="0" b="5715"/>
            <wp:docPr id="1689309462" name="Chart 1">
              <a:extLst xmlns:a="http://schemas.openxmlformats.org/drawingml/2006/main">
                <a:ext uri="{FF2B5EF4-FFF2-40B4-BE49-F238E27FC236}">
                  <a16:creationId xmlns:a16="http://schemas.microsoft.com/office/drawing/2014/main" id="{8FCF3E25-BB62-F49F-8717-1EE389F70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432B0E" w14:textId="7025B3DD" w:rsidR="000B71B1" w:rsidRDefault="00187A36" w:rsidP="0045468A">
      <w:r>
        <w:t>The three pharmacists implementing the deprescribing-focussed SMRs</w:t>
      </w:r>
      <w:r w:rsidR="000B71B1">
        <w:t xml:space="preserve"> stopped a total of 37 items</w:t>
      </w:r>
      <w:r w:rsidR="00F03F28">
        <w:t xml:space="preserve"> </w:t>
      </w:r>
      <w:r w:rsidR="000B71B1">
        <w:t>and reduced the doses or frequency</w:t>
      </w:r>
      <w:r w:rsidR="005D59B2">
        <w:t xml:space="preserve"> </w:t>
      </w:r>
      <w:r w:rsidR="000B71B1">
        <w:t>of another 32 it</w:t>
      </w:r>
      <w:r w:rsidR="00365A24">
        <w:t>em</w:t>
      </w:r>
      <w:r w:rsidR="000B71B1">
        <w:t>s</w:t>
      </w:r>
      <w:r w:rsidR="005D59B2">
        <w:t xml:space="preserve"> (range: 0-4 items per patients) which equates to </w:t>
      </w:r>
      <w:r w:rsidR="00ED50A0">
        <w:t xml:space="preserve">69 items reduced or stopped across 81 patients. </w:t>
      </w:r>
      <w:r>
        <w:t xml:space="preserve">We retrospectively compared this to </w:t>
      </w:r>
      <w:r w:rsidR="00534E84">
        <w:t>81 reviews done over the same time</w:t>
      </w:r>
      <w:r w:rsidR="00EE1718">
        <w:t>-</w:t>
      </w:r>
      <w:r w:rsidR="00534E84">
        <w:t xml:space="preserve">period by 2 network pharmacists not </w:t>
      </w:r>
      <w:r w:rsidR="00927E28">
        <w:t>taking part in</w:t>
      </w:r>
      <w:r w:rsidR="00534E84">
        <w:t xml:space="preserve"> this project</w:t>
      </w:r>
      <w:r w:rsidR="00FE51CF">
        <w:t xml:space="preserve">. Of their SMR reviews only </w:t>
      </w:r>
      <w:r w:rsidR="002D2C8F" w:rsidRPr="002D2C8F">
        <w:t xml:space="preserve">16 items </w:t>
      </w:r>
      <w:r w:rsidR="00FE51CF">
        <w:t xml:space="preserve">were </w:t>
      </w:r>
      <w:r w:rsidR="002D2C8F" w:rsidRPr="002D2C8F">
        <w:t>stopped and 9 reduced</w:t>
      </w:r>
      <w:r w:rsidR="00E073AC">
        <w:t xml:space="preserve"> resulting in about 50% less deprescribing in the deprescribing-focus group</w:t>
      </w:r>
      <w:r w:rsidR="00FE51CF">
        <w:t xml:space="preserve"> (</w:t>
      </w:r>
      <w:r w:rsidR="000B5755">
        <w:t>35 items</w:t>
      </w:r>
      <w:r w:rsidR="00E073AC">
        <w:t xml:space="preserve"> (retrospective control)</w:t>
      </w:r>
      <w:r w:rsidR="000B5755">
        <w:t xml:space="preserve"> vs 69</w:t>
      </w:r>
      <w:r w:rsidR="00E073AC">
        <w:t xml:space="preserve"> (intervention group)</w:t>
      </w:r>
      <w:r w:rsidR="000B5755">
        <w:t xml:space="preserve"> = </w:t>
      </w:r>
      <w:r w:rsidR="00E32BDD">
        <w:t>49</w:t>
      </w:r>
      <w:r w:rsidR="00FA7703">
        <w:t>.</w:t>
      </w:r>
      <w:r w:rsidR="00E32BDD">
        <w:t>3</w:t>
      </w:r>
      <w:r w:rsidR="000B5755">
        <w:t>% less</w:t>
      </w:r>
      <w:r w:rsidR="003D67B0">
        <w:t xml:space="preserve"> deprescribing</w:t>
      </w:r>
      <w:r w:rsidR="00E32BDD">
        <w:t>)</w:t>
      </w:r>
      <w:r w:rsidR="00FE51CF">
        <w:t xml:space="preserve">. </w:t>
      </w:r>
    </w:p>
    <w:p w14:paraId="5A1C5DD8" w14:textId="2F520DA4" w:rsidR="00551E98" w:rsidRPr="00927E28" w:rsidRDefault="00155D71" w:rsidP="000132DC">
      <w:r>
        <w:t xml:space="preserve">Across </w:t>
      </w:r>
      <w:r w:rsidR="00E073AC">
        <w:t>the deprescribing</w:t>
      </w:r>
      <w:r w:rsidR="00AC25AB">
        <w:t>-</w:t>
      </w:r>
      <w:r w:rsidR="00E073AC">
        <w:t>focussed SMRs, t</w:t>
      </w:r>
      <w:r w:rsidR="000B71B1">
        <w:t>his resulted in</w:t>
      </w:r>
      <w:r w:rsidR="004662F0">
        <w:t xml:space="preserve"> an average</w:t>
      </w:r>
      <w:r w:rsidR="00820B97">
        <w:t xml:space="preserve"> of</w:t>
      </w:r>
      <w:r w:rsidR="000B71B1">
        <w:t xml:space="preserve"> 0.46 items</w:t>
      </w:r>
      <w:r w:rsidR="00C008EF">
        <w:t xml:space="preserve"> (range: 0-3</w:t>
      </w:r>
      <w:r w:rsidR="004662F0">
        <w:t xml:space="preserve"> items</w:t>
      </w:r>
      <w:r w:rsidR="00C008EF">
        <w:t xml:space="preserve"> per patient) </w:t>
      </w:r>
      <w:r w:rsidR="000B71B1">
        <w:t xml:space="preserve">being stopped per patient and 0.39 items </w:t>
      </w:r>
      <w:r w:rsidR="00820B97">
        <w:t xml:space="preserve"> </w:t>
      </w:r>
      <w:r w:rsidR="00545710">
        <w:t>(</w:t>
      </w:r>
      <w:r w:rsidR="00C008EF" w:rsidRPr="00C008EF">
        <w:t>range: 0-</w:t>
      </w:r>
      <w:r w:rsidR="00CC2E61">
        <w:t>5</w:t>
      </w:r>
      <w:r w:rsidR="00C008EF" w:rsidRPr="00C008EF">
        <w:t xml:space="preserve"> items per patient) </w:t>
      </w:r>
      <w:r w:rsidR="000B71B1">
        <w:t>being reduced.</w:t>
      </w:r>
      <w:r w:rsidR="00AC25AB">
        <w:t xml:space="preserve"> </w:t>
      </w:r>
      <w:r w:rsidR="00711DB0">
        <w:t>I</w:t>
      </w:r>
      <w:r w:rsidR="00AC25AB">
        <w:t>n other terms</w:t>
      </w:r>
      <w:r w:rsidR="00711DB0">
        <w:t>,</w:t>
      </w:r>
      <w:r w:rsidR="00AC25AB">
        <w:t xml:space="preserve"> this</w:t>
      </w:r>
      <w:r w:rsidR="000B71B1">
        <w:t xml:space="preserve"> resulted in 3.1 % of </w:t>
      </w:r>
      <w:r w:rsidR="00551E98">
        <w:t xml:space="preserve">patients’ current </w:t>
      </w:r>
      <w:r w:rsidR="000B71B1">
        <w:t>items being stopped</w:t>
      </w:r>
      <w:r w:rsidR="00AC25AB">
        <w:t xml:space="preserve"> (37/1191</w:t>
      </w:r>
      <w:r w:rsidR="00711DB0">
        <w:t>reviewed items</w:t>
      </w:r>
      <w:r w:rsidR="00AC25AB">
        <w:t>)</w:t>
      </w:r>
      <w:r w:rsidR="000B71B1">
        <w:t xml:space="preserve"> and 2.7% of items being reduced</w:t>
      </w:r>
      <w:r w:rsidR="00AC25AB">
        <w:t xml:space="preserve"> (32/1191). </w:t>
      </w:r>
    </w:p>
    <w:p w14:paraId="46CE0A80" w14:textId="2FF22DB0" w:rsidR="00C957E7" w:rsidRPr="00D24C78" w:rsidRDefault="00D24C78" w:rsidP="000132DC">
      <w:r>
        <w:t>M</w:t>
      </w:r>
      <w:r w:rsidR="005B78BD" w:rsidRPr="00D24C78">
        <w:t xml:space="preserve">edicines </w:t>
      </w:r>
      <w:r w:rsidR="00933CF6" w:rsidRPr="00D24C78">
        <w:t xml:space="preserve">stopped or </w:t>
      </w:r>
      <w:r w:rsidR="005B78BD" w:rsidRPr="00D24C78">
        <w:t xml:space="preserve">reduced </w:t>
      </w:r>
      <w:r>
        <w:t>included:</w:t>
      </w:r>
    </w:p>
    <w:p w14:paraId="469BEAED" w14:textId="5DCAA75F" w:rsidR="00B51024" w:rsidRPr="00D24C78" w:rsidRDefault="00B51024" w:rsidP="00B51024">
      <w:pPr>
        <w:pStyle w:val="ListParagraph"/>
        <w:numPr>
          <w:ilvl w:val="0"/>
          <w:numId w:val="1"/>
        </w:numPr>
      </w:pPr>
      <w:r w:rsidRPr="00D24C78">
        <w:t>Laxatives</w:t>
      </w:r>
      <w:r w:rsidR="003543DE" w:rsidRPr="00D24C78">
        <w:t xml:space="preserve"> </w:t>
      </w:r>
      <w:r w:rsidR="007D5472" w:rsidRPr="00D24C78">
        <w:tab/>
      </w:r>
      <w:r w:rsidR="007D5472" w:rsidRPr="00D24C78">
        <w:tab/>
      </w:r>
      <w:r w:rsidR="00562475" w:rsidRPr="00D24C78">
        <w:tab/>
      </w:r>
      <w:r w:rsidR="00562475" w:rsidRPr="00D24C78">
        <w:tab/>
      </w:r>
      <w:r w:rsidR="00562475" w:rsidRPr="00D24C78">
        <w:tab/>
      </w:r>
      <w:r w:rsidR="00562475" w:rsidRPr="00D24C78">
        <w:tab/>
      </w:r>
      <w:r w:rsidR="007D5472" w:rsidRPr="00D24C78">
        <w:tab/>
      </w:r>
      <w:r w:rsidR="005A5B3D" w:rsidRPr="00D24C78">
        <w:t>4</w:t>
      </w:r>
    </w:p>
    <w:p w14:paraId="264D2F62" w14:textId="3F37285C" w:rsidR="00B51024" w:rsidRPr="00D24C78" w:rsidRDefault="00B51024" w:rsidP="00B51024">
      <w:pPr>
        <w:pStyle w:val="ListParagraph"/>
        <w:numPr>
          <w:ilvl w:val="0"/>
          <w:numId w:val="1"/>
        </w:numPr>
      </w:pPr>
      <w:r w:rsidRPr="00D24C78">
        <w:t>Creams</w:t>
      </w:r>
      <w:r w:rsidR="00754DFE" w:rsidRPr="00D24C78">
        <w:t xml:space="preserve"> </w:t>
      </w:r>
      <w:r w:rsidR="007D5472" w:rsidRPr="00D24C78">
        <w:tab/>
      </w:r>
      <w:r w:rsidR="007D5472" w:rsidRPr="00D24C78">
        <w:tab/>
      </w:r>
      <w:r w:rsidR="00562475" w:rsidRPr="00D24C78">
        <w:tab/>
      </w:r>
      <w:r w:rsidR="00562475" w:rsidRPr="00D24C78">
        <w:tab/>
      </w:r>
      <w:r w:rsidR="00562475" w:rsidRPr="00D24C78">
        <w:tab/>
      </w:r>
      <w:r w:rsidR="00562475" w:rsidRPr="00D24C78">
        <w:tab/>
      </w:r>
      <w:r w:rsidR="007D5472" w:rsidRPr="00D24C78">
        <w:tab/>
        <w:t>4</w:t>
      </w:r>
      <w:r w:rsidR="007D5472" w:rsidRPr="00D24C78">
        <w:tab/>
      </w:r>
    </w:p>
    <w:p w14:paraId="7A699DFD" w14:textId="33C44331" w:rsidR="00B51024" w:rsidRPr="00D24C78" w:rsidRDefault="00B51024" w:rsidP="00B51024">
      <w:pPr>
        <w:pStyle w:val="ListParagraph"/>
        <w:numPr>
          <w:ilvl w:val="0"/>
          <w:numId w:val="1"/>
        </w:numPr>
      </w:pPr>
      <w:r w:rsidRPr="00D24C78">
        <w:t>Medicated shampoos</w:t>
      </w:r>
      <w:r w:rsidR="007D5472" w:rsidRPr="00D24C78">
        <w:tab/>
      </w:r>
      <w:r w:rsidR="00562475" w:rsidRPr="00D24C78">
        <w:tab/>
      </w:r>
      <w:r w:rsidR="00562475" w:rsidRPr="00D24C78">
        <w:tab/>
      </w:r>
      <w:r w:rsidR="00562475" w:rsidRPr="00D24C78">
        <w:tab/>
      </w:r>
      <w:r w:rsidR="00562475" w:rsidRPr="00D24C78">
        <w:tab/>
      </w:r>
      <w:r w:rsidR="007D5472" w:rsidRPr="00D24C78">
        <w:t>2</w:t>
      </w:r>
    </w:p>
    <w:p w14:paraId="3E45EB59" w14:textId="4E06F38A" w:rsidR="006D6620" w:rsidRPr="00D24C78" w:rsidRDefault="00754DFE" w:rsidP="00B51024">
      <w:pPr>
        <w:pStyle w:val="ListParagraph"/>
        <w:numPr>
          <w:ilvl w:val="0"/>
          <w:numId w:val="1"/>
        </w:numPr>
      </w:pPr>
      <w:r w:rsidRPr="00D24C78">
        <w:t xml:space="preserve">Vitamins/supplements </w:t>
      </w:r>
      <w:r w:rsidR="00562475" w:rsidRPr="00D24C78">
        <w:tab/>
      </w:r>
      <w:r w:rsidR="00562475" w:rsidRPr="00D24C78">
        <w:tab/>
      </w:r>
      <w:r w:rsidR="00562475" w:rsidRPr="00D24C78">
        <w:tab/>
      </w:r>
      <w:r w:rsidR="00562475" w:rsidRPr="00D24C78">
        <w:tab/>
      </w:r>
      <w:r w:rsidR="007D5472" w:rsidRPr="00D24C78">
        <w:tab/>
        <w:t>9</w:t>
      </w:r>
      <w:r w:rsidR="007D5472" w:rsidRPr="00D24C78">
        <w:tab/>
      </w:r>
    </w:p>
    <w:p w14:paraId="4D7C50BD" w14:textId="0B5271CA" w:rsidR="006D6620" w:rsidRPr="00D24C78" w:rsidRDefault="006D6620" w:rsidP="00B51024">
      <w:pPr>
        <w:pStyle w:val="ListParagraph"/>
        <w:numPr>
          <w:ilvl w:val="0"/>
          <w:numId w:val="1"/>
        </w:numPr>
      </w:pPr>
      <w:r w:rsidRPr="00D24C78">
        <w:t>PPI</w:t>
      </w:r>
      <w:r w:rsidR="00DC3FFB" w:rsidRPr="00D24C78">
        <w:t xml:space="preserve">/H2 </w:t>
      </w:r>
      <w:r w:rsidR="00754DFE" w:rsidRPr="00D24C78">
        <w:t>antag</w:t>
      </w:r>
      <w:r w:rsidR="000F468E">
        <w:t>onists</w:t>
      </w:r>
      <w:r w:rsidR="00754DFE" w:rsidRPr="00D24C78">
        <w:t xml:space="preserve"> </w:t>
      </w:r>
      <w:r w:rsidR="007D5472" w:rsidRPr="00D24C78">
        <w:tab/>
      </w:r>
      <w:r w:rsidR="00562475" w:rsidRPr="00D24C78">
        <w:tab/>
      </w:r>
      <w:r w:rsidR="00562475" w:rsidRPr="00D24C78">
        <w:tab/>
      </w:r>
      <w:r w:rsidR="00562475" w:rsidRPr="00D24C78">
        <w:tab/>
      </w:r>
      <w:r w:rsidR="00562475" w:rsidRPr="00D24C78">
        <w:tab/>
      </w:r>
      <w:r w:rsidR="007D5472" w:rsidRPr="00D24C78">
        <w:t>4</w:t>
      </w:r>
    </w:p>
    <w:p w14:paraId="090412F0" w14:textId="3979E273" w:rsidR="00DC3FFB" w:rsidRPr="00D24C78" w:rsidRDefault="00DC3FFB" w:rsidP="00B51024">
      <w:pPr>
        <w:pStyle w:val="ListParagraph"/>
        <w:numPr>
          <w:ilvl w:val="0"/>
          <w:numId w:val="1"/>
        </w:numPr>
      </w:pPr>
      <w:r w:rsidRPr="00D24C78">
        <w:t>LT antibiotics</w:t>
      </w:r>
      <w:r w:rsidR="007D5472" w:rsidRPr="00D24C78">
        <w:tab/>
      </w:r>
      <w:r w:rsidR="00562475" w:rsidRPr="00D24C78">
        <w:tab/>
      </w:r>
      <w:r w:rsidR="00562475" w:rsidRPr="00D24C78">
        <w:tab/>
      </w:r>
      <w:r w:rsidR="00562475" w:rsidRPr="00D24C78">
        <w:tab/>
      </w:r>
      <w:r w:rsidR="00562475" w:rsidRPr="00D24C78">
        <w:tab/>
      </w:r>
      <w:r w:rsidR="007D5472" w:rsidRPr="00D24C78">
        <w:tab/>
        <w:t>1</w:t>
      </w:r>
    </w:p>
    <w:p w14:paraId="5C77E315" w14:textId="7719500E" w:rsidR="00933CF6" w:rsidRPr="00D24C78" w:rsidRDefault="00933CF6" w:rsidP="00B51024">
      <w:pPr>
        <w:pStyle w:val="ListParagraph"/>
        <w:numPr>
          <w:ilvl w:val="0"/>
          <w:numId w:val="1"/>
        </w:numPr>
      </w:pPr>
      <w:r w:rsidRPr="00D24C78">
        <w:t xml:space="preserve">Pain relief </w:t>
      </w:r>
      <w:r w:rsidR="007D5472" w:rsidRPr="00D24C78">
        <w:tab/>
      </w:r>
      <w:r w:rsidR="007D5472" w:rsidRPr="00D24C78">
        <w:tab/>
      </w:r>
      <w:r w:rsidR="007D5472" w:rsidRPr="00D24C78">
        <w:tab/>
      </w:r>
      <w:r w:rsidR="00562475" w:rsidRPr="00D24C78">
        <w:tab/>
      </w:r>
      <w:r w:rsidR="00562475" w:rsidRPr="00D24C78">
        <w:tab/>
      </w:r>
      <w:r w:rsidR="00562475" w:rsidRPr="00D24C78">
        <w:tab/>
      </w:r>
      <w:r w:rsidR="00562475" w:rsidRPr="00D24C78">
        <w:tab/>
      </w:r>
      <w:r w:rsidR="007D5472" w:rsidRPr="00D24C78">
        <w:t>2</w:t>
      </w:r>
    </w:p>
    <w:p w14:paraId="2FD0AB15" w14:textId="50678871" w:rsidR="0040763B" w:rsidRPr="00D24C78" w:rsidRDefault="0040763B" w:rsidP="00B51024">
      <w:pPr>
        <w:pStyle w:val="ListParagraph"/>
        <w:numPr>
          <w:ilvl w:val="0"/>
          <w:numId w:val="1"/>
        </w:numPr>
      </w:pPr>
      <w:r w:rsidRPr="00D24C78">
        <w:t xml:space="preserve">Eye drops </w:t>
      </w:r>
      <w:r w:rsidR="007D5472" w:rsidRPr="00D24C78">
        <w:tab/>
      </w:r>
      <w:r w:rsidR="007D5472" w:rsidRPr="00D24C78">
        <w:tab/>
      </w:r>
      <w:r w:rsidR="007D5472" w:rsidRPr="00D24C78">
        <w:tab/>
      </w:r>
      <w:r w:rsidR="00562475" w:rsidRPr="00D24C78">
        <w:tab/>
      </w:r>
      <w:r w:rsidR="00562475" w:rsidRPr="00D24C78">
        <w:tab/>
      </w:r>
      <w:r w:rsidR="00562475" w:rsidRPr="00D24C78">
        <w:tab/>
      </w:r>
      <w:r w:rsidR="00562475" w:rsidRPr="00D24C78">
        <w:tab/>
      </w:r>
      <w:r w:rsidR="007D5472" w:rsidRPr="00D24C78">
        <w:t>3</w:t>
      </w:r>
    </w:p>
    <w:p w14:paraId="43F00BB5" w14:textId="1C2D7D0B" w:rsidR="003E4861" w:rsidRPr="00D24C78" w:rsidRDefault="003543DE" w:rsidP="003E4861">
      <w:pPr>
        <w:pStyle w:val="ListParagraph"/>
        <w:numPr>
          <w:ilvl w:val="0"/>
          <w:numId w:val="1"/>
        </w:numPr>
      </w:pPr>
      <w:r w:rsidRPr="00D24C78">
        <w:t xml:space="preserve">Cardiac drugs </w:t>
      </w:r>
      <w:r w:rsidR="003E4861" w:rsidRPr="00D24C78">
        <w:t xml:space="preserve">Bumetanide </w:t>
      </w:r>
      <w:r w:rsidRPr="00D24C78">
        <w:t>/ ramipril</w:t>
      </w:r>
      <w:r w:rsidR="00C57FC2" w:rsidRPr="00D24C78">
        <w:t xml:space="preserve"> </w:t>
      </w:r>
      <w:r w:rsidR="007D5472" w:rsidRPr="00D24C78">
        <w:tab/>
      </w:r>
      <w:r w:rsidR="007D5472" w:rsidRPr="00D24C78">
        <w:tab/>
      </w:r>
      <w:r w:rsidR="00562475" w:rsidRPr="00D24C78">
        <w:tab/>
      </w:r>
      <w:r w:rsidR="007D5472" w:rsidRPr="00D24C78">
        <w:t>2</w:t>
      </w:r>
    </w:p>
    <w:p w14:paraId="61BEBD94" w14:textId="2D5F793C" w:rsidR="00C57FC2" w:rsidRPr="00D24C78" w:rsidRDefault="00C57FC2" w:rsidP="003E4861">
      <w:pPr>
        <w:pStyle w:val="ListParagraph"/>
        <w:numPr>
          <w:ilvl w:val="0"/>
          <w:numId w:val="1"/>
        </w:numPr>
      </w:pPr>
      <w:r w:rsidRPr="00D24C78">
        <w:t>Respiratory drugs</w:t>
      </w:r>
      <w:r w:rsidR="007D5472" w:rsidRPr="00D24C78">
        <w:t>:</w:t>
      </w:r>
      <w:r w:rsidRPr="00D24C78">
        <w:t xml:space="preserve"> inhalers</w:t>
      </w:r>
      <w:r w:rsidR="00913F6A" w:rsidRPr="00D24C78">
        <w:t xml:space="preserve">, carbocysteine </w:t>
      </w:r>
      <w:r w:rsidR="007D5472" w:rsidRPr="00D24C78">
        <w:tab/>
      </w:r>
      <w:r w:rsidR="00562475" w:rsidRPr="00D24C78">
        <w:tab/>
      </w:r>
      <w:r w:rsidR="007D5472" w:rsidRPr="00D24C78">
        <w:t>2</w:t>
      </w:r>
    </w:p>
    <w:p w14:paraId="44A856FA" w14:textId="609B4579" w:rsidR="0056411B" w:rsidRPr="00D24C78" w:rsidRDefault="0056411B" w:rsidP="003E4861">
      <w:pPr>
        <w:pStyle w:val="ListParagraph"/>
        <w:numPr>
          <w:ilvl w:val="0"/>
          <w:numId w:val="1"/>
        </w:numPr>
        <w:rPr>
          <w:lang w:val="fr-FR"/>
        </w:rPr>
      </w:pPr>
      <w:r w:rsidRPr="00D24C78">
        <w:rPr>
          <w:lang w:val="fr-FR"/>
        </w:rPr>
        <w:t>Antidepressants</w:t>
      </w:r>
      <w:r w:rsidR="00184446" w:rsidRPr="00D24C78">
        <w:rPr>
          <w:lang w:val="fr-FR"/>
        </w:rPr>
        <w:t>:</w:t>
      </w:r>
      <w:r w:rsidRPr="00D24C78">
        <w:rPr>
          <w:lang w:val="fr-FR"/>
        </w:rPr>
        <w:t xml:space="preserve"> duloxetine</w:t>
      </w:r>
      <w:r w:rsidR="00C64066" w:rsidRPr="00D24C78">
        <w:rPr>
          <w:lang w:val="fr-FR"/>
        </w:rPr>
        <w:t xml:space="preserve">, </w:t>
      </w:r>
      <w:r w:rsidR="002B2151" w:rsidRPr="00D24C78">
        <w:rPr>
          <w:lang w:val="fr-FR"/>
        </w:rPr>
        <w:t>venla</w:t>
      </w:r>
      <w:r w:rsidR="00184446" w:rsidRPr="00D24C78">
        <w:rPr>
          <w:lang w:val="fr-FR"/>
        </w:rPr>
        <w:t xml:space="preserve">, amitryp, </w:t>
      </w:r>
      <w:r w:rsidR="00C64066" w:rsidRPr="00D24C78">
        <w:rPr>
          <w:lang w:val="fr-FR"/>
        </w:rPr>
        <w:t>sertraline</w:t>
      </w:r>
      <w:r w:rsidR="007D5472" w:rsidRPr="00D24C78">
        <w:rPr>
          <w:lang w:val="fr-FR"/>
        </w:rPr>
        <w:t xml:space="preserve"> </w:t>
      </w:r>
      <w:r w:rsidR="00562475" w:rsidRPr="00D24C78">
        <w:rPr>
          <w:lang w:val="fr-FR"/>
        </w:rPr>
        <w:t xml:space="preserve">   </w:t>
      </w:r>
      <w:r w:rsidR="00562475" w:rsidRPr="00D24C78">
        <w:rPr>
          <w:lang w:val="fr-FR"/>
        </w:rPr>
        <w:tab/>
        <w:t>4</w:t>
      </w:r>
    </w:p>
    <w:p w14:paraId="71DBDC6C" w14:textId="317CC7AF" w:rsidR="0056411B" w:rsidRPr="00D24C78" w:rsidRDefault="0056411B" w:rsidP="003E4861">
      <w:pPr>
        <w:pStyle w:val="ListParagraph"/>
        <w:numPr>
          <w:ilvl w:val="0"/>
          <w:numId w:val="1"/>
        </w:numPr>
      </w:pPr>
      <w:r w:rsidRPr="00D24C78">
        <w:t>Neurological meds: co-careldopa</w:t>
      </w:r>
      <w:r w:rsidR="00562475" w:rsidRPr="00D24C78">
        <w:tab/>
      </w:r>
      <w:r w:rsidR="00562475" w:rsidRPr="00D24C78">
        <w:tab/>
      </w:r>
      <w:r w:rsidR="00562475" w:rsidRPr="00D24C78">
        <w:tab/>
      </w:r>
      <w:r w:rsidR="00562475" w:rsidRPr="00D24C78">
        <w:tab/>
        <w:t>1</w:t>
      </w:r>
    </w:p>
    <w:p w14:paraId="14AB58C9" w14:textId="1587D47A" w:rsidR="00857173" w:rsidRPr="00D24C78" w:rsidRDefault="00857173" w:rsidP="003E4861">
      <w:pPr>
        <w:pStyle w:val="ListParagraph"/>
        <w:numPr>
          <w:ilvl w:val="0"/>
          <w:numId w:val="1"/>
        </w:numPr>
      </w:pPr>
      <w:r w:rsidRPr="00D24C78">
        <w:t>Alendronic acid</w:t>
      </w:r>
      <w:r w:rsidR="00562475" w:rsidRPr="00D24C78">
        <w:tab/>
      </w:r>
      <w:r w:rsidR="00562475" w:rsidRPr="00D24C78">
        <w:tab/>
      </w:r>
      <w:r w:rsidR="00562475" w:rsidRPr="00D24C78">
        <w:tab/>
      </w:r>
      <w:r w:rsidR="00562475" w:rsidRPr="00D24C78">
        <w:tab/>
      </w:r>
      <w:r w:rsidR="00562475" w:rsidRPr="00D24C78">
        <w:tab/>
      </w:r>
      <w:r w:rsidR="00562475" w:rsidRPr="00D24C78">
        <w:tab/>
        <w:t>1</w:t>
      </w:r>
    </w:p>
    <w:p w14:paraId="7B0D25DF" w14:textId="07F9F5CA" w:rsidR="007E07C8" w:rsidRPr="00D24C78" w:rsidRDefault="00331F91" w:rsidP="00446129">
      <w:r w:rsidRPr="00D24C78">
        <w:lastRenderedPageBreak/>
        <w:t>Med</w:t>
      </w:r>
      <w:r w:rsidR="00D24C78">
        <w:t>ications</w:t>
      </w:r>
      <w:r w:rsidRPr="00D24C78">
        <w:t xml:space="preserve"> started/switched</w:t>
      </w:r>
      <w:r w:rsidR="00D24C78">
        <w:t xml:space="preserve"> included</w:t>
      </w:r>
      <w:r w:rsidRPr="00D24C78">
        <w:t>:</w:t>
      </w:r>
    </w:p>
    <w:p w14:paraId="7DE563C1" w14:textId="24298E34" w:rsidR="00C64066" w:rsidRPr="00D24C78" w:rsidRDefault="007E07C8" w:rsidP="003E4861">
      <w:pPr>
        <w:pStyle w:val="ListParagraph"/>
        <w:numPr>
          <w:ilvl w:val="0"/>
          <w:numId w:val="1"/>
        </w:numPr>
      </w:pPr>
      <w:r w:rsidRPr="00D24C78">
        <w:t>Analgesics changed: buprenorphine commen</w:t>
      </w:r>
      <w:r w:rsidR="00562475" w:rsidRPr="00D24C78">
        <w:t>ced</w:t>
      </w:r>
      <w:r w:rsidR="00562475" w:rsidRPr="00D24C78">
        <w:tab/>
        <w:t>1</w:t>
      </w:r>
    </w:p>
    <w:p w14:paraId="7A2DD0AA" w14:textId="491FFA13" w:rsidR="00331F91" w:rsidRPr="00D24C78" w:rsidRDefault="00331F91" w:rsidP="003E4861">
      <w:pPr>
        <w:pStyle w:val="ListParagraph"/>
        <w:numPr>
          <w:ilvl w:val="0"/>
          <w:numId w:val="1"/>
        </w:numPr>
      </w:pPr>
      <w:r w:rsidRPr="00D24C78">
        <w:t>Antidepress</w:t>
      </w:r>
      <w:r w:rsidR="00D40876">
        <w:t>ant</w:t>
      </w:r>
      <w:r w:rsidRPr="00D24C78">
        <w:t>s: sertraline started</w:t>
      </w:r>
      <w:r w:rsidR="00562475" w:rsidRPr="00D24C78">
        <w:tab/>
      </w:r>
      <w:r w:rsidR="00562475" w:rsidRPr="00D24C78">
        <w:tab/>
      </w:r>
      <w:r w:rsidR="00562475" w:rsidRPr="00D24C78">
        <w:tab/>
        <w:t>1</w:t>
      </w:r>
    </w:p>
    <w:p w14:paraId="2DF1B3B3" w14:textId="120C22A8" w:rsidR="009B378E" w:rsidRPr="00D24C78" w:rsidRDefault="009B378E" w:rsidP="003E4861">
      <w:pPr>
        <w:pStyle w:val="ListParagraph"/>
        <w:numPr>
          <w:ilvl w:val="0"/>
          <w:numId w:val="1"/>
        </w:numPr>
      </w:pPr>
      <w:r w:rsidRPr="00D24C78">
        <w:t>Carbocysteine</w:t>
      </w:r>
      <w:r w:rsidR="00562475" w:rsidRPr="00D24C78">
        <w:tab/>
      </w:r>
      <w:r w:rsidR="00562475" w:rsidRPr="00D24C78">
        <w:tab/>
      </w:r>
      <w:r w:rsidR="00562475" w:rsidRPr="00D24C78">
        <w:tab/>
      </w:r>
      <w:r w:rsidR="00562475" w:rsidRPr="00D24C78">
        <w:tab/>
      </w:r>
      <w:r w:rsidR="00562475" w:rsidRPr="00D24C78">
        <w:tab/>
      </w:r>
      <w:r w:rsidR="00562475" w:rsidRPr="00D24C78">
        <w:tab/>
        <w:t>1</w:t>
      </w:r>
    </w:p>
    <w:p w14:paraId="42497526" w14:textId="0CBB6F55" w:rsidR="009B378E" w:rsidRPr="00D24C78" w:rsidRDefault="009B378E" w:rsidP="003E4861">
      <w:pPr>
        <w:pStyle w:val="ListParagraph"/>
        <w:numPr>
          <w:ilvl w:val="0"/>
          <w:numId w:val="1"/>
        </w:numPr>
      </w:pPr>
      <w:r w:rsidRPr="00D24C78">
        <w:t>Metformin increasing</w:t>
      </w:r>
      <w:r w:rsidR="00562475" w:rsidRPr="00D24C78">
        <w:tab/>
      </w:r>
      <w:r w:rsidR="00562475" w:rsidRPr="00D24C78">
        <w:tab/>
      </w:r>
      <w:r w:rsidR="00562475" w:rsidRPr="00D24C78">
        <w:tab/>
      </w:r>
      <w:r w:rsidR="00562475" w:rsidRPr="00D24C78">
        <w:tab/>
      </w:r>
      <w:r w:rsidR="00562475" w:rsidRPr="00D24C78">
        <w:tab/>
        <w:t>1</w:t>
      </w:r>
    </w:p>
    <w:p w14:paraId="68BB1012" w14:textId="070225A7" w:rsidR="003449BB" w:rsidRDefault="00562475" w:rsidP="003449BB">
      <w:pPr>
        <w:pStyle w:val="ListParagraph"/>
        <w:numPr>
          <w:ilvl w:val="0"/>
          <w:numId w:val="1"/>
        </w:numPr>
      </w:pPr>
      <w:r w:rsidRPr="00D24C78">
        <w:t>S</w:t>
      </w:r>
      <w:r w:rsidR="00913F6A" w:rsidRPr="00D24C78">
        <w:t>tatin</w:t>
      </w:r>
      <w:r w:rsidRPr="00D24C78">
        <w:t xml:space="preserve"> increasing</w:t>
      </w:r>
      <w:r w:rsidRPr="00D24C78">
        <w:tab/>
      </w:r>
      <w:r w:rsidRPr="00D24C78">
        <w:tab/>
      </w:r>
      <w:r w:rsidRPr="00D24C78">
        <w:tab/>
      </w:r>
      <w:r w:rsidRPr="00D24C78">
        <w:tab/>
      </w:r>
      <w:r w:rsidRPr="00D24C78">
        <w:tab/>
      </w:r>
      <w:r w:rsidRPr="00D24C78">
        <w:tab/>
        <w:t>1</w:t>
      </w:r>
    </w:p>
    <w:p w14:paraId="15B79BD8" w14:textId="736AF161" w:rsidR="00C957E7" w:rsidRPr="003449BB" w:rsidRDefault="00C957E7" w:rsidP="003449BB">
      <w:pPr>
        <w:ind w:left="40"/>
      </w:pPr>
      <w:r w:rsidRPr="003449BB">
        <w:rPr>
          <w:i/>
          <w:iCs/>
          <w:u w:val="single"/>
        </w:rPr>
        <w:t>Carbon footprint</w:t>
      </w:r>
    </w:p>
    <w:p w14:paraId="7D769F0F" w14:textId="28D461B7" w:rsidR="000D2F26" w:rsidRDefault="000132DC" w:rsidP="000132DC">
      <w:r>
        <w:t xml:space="preserve">It was hard to get a carbon rating for all the items we stopped, but we used the MCF classifier </w:t>
      </w:r>
      <w:r w:rsidR="003B08D3">
        <w:t>(</w:t>
      </w:r>
      <w:hyperlink r:id="rId10" w:history="1">
        <w:r w:rsidR="003B08D3" w:rsidRPr="00413E27">
          <w:rPr>
            <w:rStyle w:val="Hyperlink"/>
          </w:rPr>
          <w:t>https://www.yewmaker.com/mcf-classifier</w:t>
        </w:r>
      </w:hyperlink>
      <w:r w:rsidR="003B08D3">
        <w:t xml:space="preserve">) </w:t>
      </w:r>
      <w:r>
        <w:t xml:space="preserve">which categorises </w:t>
      </w:r>
      <w:r w:rsidR="005C100E">
        <w:t>medications by categories of carbon footprint</w:t>
      </w:r>
      <w:r w:rsidR="005B17FE">
        <w:rPr>
          <w:rStyle w:val="FootnoteReference"/>
        </w:rPr>
        <w:footnoteReference w:id="5"/>
      </w:r>
      <w:r w:rsidR="005C100E">
        <w:t xml:space="preserve"> </w:t>
      </w:r>
      <w:r w:rsidR="002239D9">
        <w:t>(Figure 3). Not all the medications have been included in MCF classifier yet so some have no rating</w:t>
      </w:r>
      <w:r w:rsidR="00D40876">
        <w:t xml:space="preserve"> due to unavailability of the data from the pharmaceutical companies at the time of compi</w:t>
      </w:r>
      <w:r w:rsidR="0045271C">
        <w:t>ling the MCF</w:t>
      </w:r>
      <w:r w:rsidR="002239D9">
        <w:t xml:space="preserve">. </w:t>
      </w:r>
    </w:p>
    <w:p w14:paraId="38C805BC" w14:textId="353EF181" w:rsidR="00A3168F" w:rsidRPr="00446129" w:rsidRDefault="002239D9" w:rsidP="000132DC">
      <w:pPr>
        <w:rPr>
          <w:u w:val="single"/>
        </w:rPr>
      </w:pPr>
      <w:r>
        <w:rPr>
          <w:u w:val="single"/>
        </w:rPr>
        <w:t xml:space="preserve">Figure 3: </w:t>
      </w:r>
      <w:r w:rsidR="00AD2B8D">
        <w:rPr>
          <w:u w:val="single"/>
        </w:rPr>
        <w:t>CO2e range of each MCF rating</w:t>
      </w:r>
    </w:p>
    <w:p w14:paraId="5D6F8CE0" w14:textId="1CCB8750" w:rsidR="000132DC" w:rsidRDefault="000D2F26" w:rsidP="0045468A">
      <w:r>
        <w:rPr>
          <w:noProof/>
        </w:rPr>
        <w:drawing>
          <wp:inline distT="0" distB="0" distL="0" distR="0" wp14:anchorId="611D645B" wp14:editId="00015A95">
            <wp:extent cx="2102513" cy="1924050"/>
            <wp:effectExtent l="0" t="0" r="0" b="0"/>
            <wp:docPr id="649270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70871" name=""/>
                    <pic:cNvPicPr/>
                  </pic:nvPicPr>
                  <pic:blipFill>
                    <a:blip r:embed="rId11"/>
                    <a:stretch>
                      <a:fillRect/>
                    </a:stretch>
                  </pic:blipFill>
                  <pic:spPr>
                    <a:xfrm>
                      <a:off x="0" y="0"/>
                      <a:ext cx="2115083" cy="1935553"/>
                    </a:xfrm>
                    <a:prstGeom prst="rect">
                      <a:avLst/>
                    </a:prstGeom>
                  </pic:spPr>
                </pic:pic>
              </a:graphicData>
            </a:graphic>
          </wp:inline>
        </w:drawing>
      </w:r>
    </w:p>
    <w:p w14:paraId="37EE3907" w14:textId="50E11292" w:rsidR="000B71B1" w:rsidRDefault="006A0A52" w:rsidP="0045468A">
      <w:r>
        <w:t>Only</w:t>
      </w:r>
      <w:r w:rsidR="0049484A">
        <w:t xml:space="preserve"> 22/37</w:t>
      </w:r>
      <w:r>
        <w:t xml:space="preserve"> </w:t>
      </w:r>
      <w:r w:rsidR="0049484A">
        <w:t>(</w:t>
      </w:r>
      <w:r>
        <w:t>60%</w:t>
      </w:r>
      <w:r w:rsidR="0049484A">
        <w:t>)</w:t>
      </w:r>
      <w:r w:rsidR="00AB109B">
        <w:t xml:space="preserve"> </w:t>
      </w:r>
      <w:r>
        <w:t xml:space="preserve">items stopped had </w:t>
      </w:r>
      <w:r w:rsidR="00AB109B">
        <w:t>a</w:t>
      </w:r>
      <w:r w:rsidR="000B71B1">
        <w:t xml:space="preserve"> carbon rating</w:t>
      </w:r>
      <w:r w:rsidR="004A4538">
        <w:t xml:space="preserve">. </w:t>
      </w:r>
      <w:r w:rsidR="00B603DB">
        <w:t>Of the 22 items with ratings, 72% were medium to high carbon footprint</w:t>
      </w:r>
      <w:r w:rsidR="004A4538">
        <w:t xml:space="preserve"> (Table 3)</w:t>
      </w:r>
      <w:r w:rsidR="00B603DB">
        <w:t xml:space="preserve">. </w:t>
      </w:r>
    </w:p>
    <w:p w14:paraId="3F63F522" w14:textId="09519A46" w:rsidR="000B71B1" w:rsidRPr="00AB109B" w:rsidRDefault="00AB109B" w:rsidP="00101A5B">
      <w:pPr>
        <w:rPr>
          <w:u w:val="single"/>
        </w:rPr>
      </w:pPr>
      <w:r>
        <w:rPr>
          <w:u w:val="single"/>
        </w:rPr>
        <w:t>Table 3: MCF ratings</w:t>
      </w:r>
      <w:r w:rsidR="0045271C">
        <w:rPr>
          <w:u w:val="single"/>
        </w:rPr>
        <w:t xml:space="preserve"> of </w:t>
      </w:r>
      <w:r w:rsidR="00F469ED">
        <w:rPr>
          <w:u w:val="single"/>
        </w:rPr>
        <w:t>stopped medications (n=37)</w:t>
      </w:r>
    </w:p>
    <w:tbl>
      <w:tblPr>
        <w:tblStyle w:val="TableGrid"/>
        <w:tblW w:w="0" w:type="auto"/>
        <w:tblLook w:val="04A0" w:firstRow="1" w:lastRow="0" w:firstColumn="1" w:lastColumn="0" w:noHBand="0" w:noVBand="1"/>
      </w:tblPr>
      <w:tblGrid>
        <w:gridCol w:w="2254"/>
        <w:gridCol w:w="2254"/>
        <w:gridCol w:w="2254"/>
      </w:tblGrid>
      <w:tr w:rsidR="00A825E9" w14:paraId="7F2152E1" w14:textId="77777777" w:rsidTr="00446129">
        <w:trPr>
          <w:trHeight w:val="377"/>
        </w:trPr>
        <w:tc>
          <w:tcPr>
            <w:tcW w:w="2254" w:type="dxa"/>
          </w:tcPr>
          <w:p w14:paraId="5C2104E2" w14:textId="55A0B6BA" w:rsidR="00A825E9" w:rsidRPr="00446129" w:rsidRDefault="00A825E9" w:rsidP="00141F79">
            <w:pPr>
              <w:rPr>
                <w:b/>
                <w:bCs/>
              </w:rPr>
            </w:pPr>
            <w:r w:rsidRPr="00446129">
              <w:rPr>
                <w:b/>
                <w:bCs/>
              </w:rPr>
              <w:t>MCF rating</w:t>
            </w:r>
          </w:p>
        </w:tc>
        <w:tc>
          <w:tcPr>
            <w:tcW w:w="2254" w:type="dxa"/>
          </w:tcPr>
          <w:p w14:paraId="79C52771" w14:textId="15BD8F7A" w:rsidR="00A825E9" w:rsidRPr="00446129" w:rsidRDefault="00A825E9" w:rsidP="00141F79">
            <w:pPr>
              <w:rPr>
                <w:b/>
                <w:bCs/>
              </w:rPr>
            </w:pPr>
            <w:r w:rsidRPr="00446129">
              <w:rPr>
                <w:b/>
                <w:bCs/>
              </w:rPr>
              <w:t>g C02e per dose</w:t>
            </w:r>
          </w:p>
        </w:tc>
        <w:tc>
          <w:tcPr>
            <w:tcW w:w="2254" w:type="dxa"/>
          </w:tcPr>
          <w:p w14:paraId="1B8715FC" w14:textId="04CEDFB3" w:rsidR="00A825E9" w:rsidRDefault="00A825E9" w:rsidP="00141F79">
            <w:pPr>
              <w:rPr>
                <w:i/>
                <w:iCs/>
                <w:u w:val="single"/>
              </w:rPr>
            </w:pPr>
          </w:p>
        </w:tc>
      </w:tr>
      <w:tr w:rsidR="00A825E9" w14:paraId="1997CAA3" w14:textId="77777777" w:rsidTr="008C5060">
        <w:tc>
          <w:tcPr>
            <w:tcW w:w="2254" w:type="dxa"/>
          </w:tcPr>
          <w:p w14:paraId="3C757F18" w14:textId="3F9C92BC" w:rsidR="00A825E9" w:rsidRPr="00446129" w:rsidRDefault="00A825E9" w:rsidP="00141F79">
            <w:pPr>
              <w:rPr>
                <w:color w:val="00B050"/>
              </w:rPr>
            </w:pPr>
            <w:r w:rsidRPr="00446129">
              <w:rPr>
                <w:color w:val="00B050"/>
              </w:rPr>
              <w:t>Low  - Green</w:t>
            </w:r>
          </w:p>
        </w:tc>
        <w:tc>
          <w:tcPr>
            <w:tcW w:w="2254" w:type="dxa"/>
          </w:tcPr>
          <w:p w14:paraId="02999137" w14:textId="686E73DD" w:rsidR="00A825E9" w:rsidRPr="00446129" w:rsidRDefault="00A825E9" w:rsidP="00141F79">
            <w:pPr>
              <w:rPr>
                <w:color w:val="00B050"/>
              </w:rPr>
            </w:pPr>
            <w:r w:rsidRPr="00446129">
              <w:rPr>
                <w:color w:val="00B050"/>
              </w:rPr>
              <w:t xml:space="preserve">0-10g </w:t>
            </w:r>
          </w:p>
        </w:tc>
        <w:tc>
          <w:tcPr>
            <w:tcW w:w="2254" w:type="dxa"/>
          </w:tcPr>
          <w:p w14:paraId="5864A81F" w14:textId="4EBC88FD" w:rsidR="00A825E9" w:rsidRPr="00446129" w:rsidRDefault="00A825E9" w:rsidP="00141F79">
            <w:pPr>
              <w:rPr>
                <w:color w:val="00B050"/>
              </w:rPr>
            </w:pPr>
            <w:r w:rsidRPr="00446129">
              <w:rPr>
                <w:color w:val="00B050"/>
              </w:rPr>
              <w:t>6</w:t>
            </w:r>
            <w:r w:rsidR="009F066F">
              <w:rPr>
                <w:color w:val="00B050"/>
              </w:rPr>
              <w:t xml:space="preserve"> (16%)</w:t>
            </w:r>
          </w:p>
        </w:tc>
      </w:tr>
      <w:tr w:rsidR="00A825E9" w14:paraId="32661167" w14:textId="77777777" w:rsidTr="008C5060">
        <w:tc>
          <w:tcPr>
            <w:tcW w:w="2254" w:type="dxa"/>
          </w:tcPr>
          <w:p w14:paraId="6F459E56" w14:textId="0786ACA2" w:rsidR="00A825E9" w:rsidRPr="00446129" w:rsidRDefault="00A825E9" w:rsidP="00141F79">
            <w:pPr>
              <w:rPr>
                <w:color w:val="FFC000"/>
              </w:rPr>
            </w:pPr>
            <w:r w:rsidRPr="00446129">
              <w:rPr>
                <w:color w:val="FFC000"/>
              </w:rPr>
              <w:t xml:space="preserve">Medium – Amber </w:t>
            </w:r>
          </w:p>
        </w:tc>
        <w:tc>
          <w:tcPr>
            <w:tcW w:w="2254" w:type="dxa"/>
          </w:tcPr>
          <w:p w14:paraId="5CD84240" w14:textId="06AE0BEF" w:rsidR="00A825E9" w:rsidRPr="00446129" w:rsidRDefault="00A825E9" w:rsidP="00141F79">
            <w:pPr>
              <w:rPr>
                <w:color w:val="FFC000"/>
              </w:rPr>
            </w:pPr>
            <w:r w:rsidRPr="00446129">
              <w:rPr>
                <w:color w:val="FFC000"/>
              </w:rPr>
              <w:t>10g-100g</w:t>
            </w:r>
          </w:p>
        </w:tc>
        <w:tc>
          <w:tcPr>
            <w:tcW w:w="2254" w:type="dxa"/>
          </w:tcPr>
          <w:p w14:paraId="6F727893" w14:textId="24B3AE15" w:rsidR="00A825E9" w:rsidRPr="00446129" w:rsidRDefault="00A825E9" w:rsidP="00141F79">
            <w:pPr>
              <w:rPr>
                <w:color w:val="FFC000"/>
              </w:rPr>
            </w:pPr>
            <w:r w:rsidRPr="00446129">
              <w:rPr>
                <w:color w:val="FFC000"/>
              </w:rPr>
              <w:t>9</w:t>
            </w:r>
            <w:r w:rsidR="009F066F">
              <w:rPr>
                <w:color w:val="FFC000"/>
              </w:rPr>
              <w:t xml:space="preserve"> </w:t>
            </w:r>
            <w:r w:rsidR="007C0C43">
              <w:rPr>
                <w:color w:val="FFC000"/>
              </w:rPr>
              <w:t xml:space="preserve"> (24%)</w:t>
            </w:r>
          </w:p>
        </w:tc>
      </w:tr>
      <w:tr w:rsidR="00A825E9" w14:paraId="5FB12B43" w14:textId="77777777" w:rsidTr="008C5060">
        <w:tc>
          <w:tcPr>
            <w:tcW w:w="2254" w:type="dxa"/>
          </w:tcPr>
          <w:p w14:paraId="10B66F4B" w14:textId="0A0879CF" w:rsidR="00A825E9" w:rsidRPr="00446129" w:rsidRDefault="00A825E9" w:rsidP="00141F79">
            <w:pPr>
              <w:rPr>
                <w:color w:val="FF0000"/>
              </w:rPr>
            </w:pPr>
            <w:r w:rsidRPr="00446129">
              <w:rPr>
                <w:color w:val="FF0000"/>
              </w:rPr>
              <w:t>High – red</w:t>
            </w:r>
          </w:p>
        </w:tc>
        <w:tc>
          <w:tcPr>
            <w:tcW w:w="2254" w:type="dxa"/>
          </w:tcPr>
          <w:p w14:paraId="41D83FAD" w14:textId="04563A98" w:rsidR="00A825E9" w:rsidRPr="00446129" w:rsidRDefault="00A825E9" w:rsidP="00141F79">
            <w:pPr>
              <w:rPr>
                <w:color w:val="FF0000"/>
              </w:rPr>
            </w:pPr>
            <w:r w:rsidRPr="00446129">
              <w:rPr>
                <w:color w:val="FF0000"/>
              </w:rPr>
              <w:t>100g-1000g</w:t>
            </w:r>
          </w:p>
        </w:tc>
        <w:tc>
          <w:tcPr>
            <w:tcW w:w="2254" w:type="dxa"/>
          </w:tcPr>
          <w:p w14:paraId="200FA8DD" w14:textId="50E81FDB" w:rsidR="00A825E9" w:rsidRPr="00446129" w:rsidRDefault="00A825E9" w:rsidP="00141F79">
            <w:pPr>
              <w:rPr>
                <w:color w:val="FF0000"/>
              </w:rPr>
            </w:pPr>
            <w:r w:rsidRPr="00446129">
              <w:rPr>
                <w:color w:val="FF0000"/>
              </w:rPr>
              <w:t>7</w:t>
            </w:r>
            <w:r w:rsidR="007C0C43">
              <w:rPr>
                <w:color w:val="FF0000"/>
              </w:rPr>
              <w:t xml:space="preserve"> (19%)</w:t>
            </w:r>
          </w:p>
        </w:tc>
      </w:tr>
      <w:tr w:rsidR="00A825E9" w14:paraId="1EE9FAD7" w14:textId="77777777" w:rsidTr="008C5060">
        <w:tc>
          <w:tcPr>
            <w:tcW w:w="2254" w:type="dxa"/>
          </w:tcPr>
          <w:p w14:paraId="2AD599CF" w14:textId="641A074C" w:rsidR="00A825E9" w:rsidRPr="00446129" w:rsidRDefault="00A825E9" w:rsidP="00141F79">
            <w:pPr>
              <w:rPr>
                <w:color w:val="7030A0"/>
              </w:rPr>
            </w:pPr>
            <w:r w:rsidRPr="00446129">
              <w:rPr>
                <w:color w:val="7030A0"/>
              </w:rPr>
              <w:t xml:space="preserve">Very High - </w:t>
            </w:r>
          </w:p>
        </w:tc>
        <w:tc>
          <w:tcPr>
            <w:tcW w:w="2254" w:type="dxa"/>
          </w:tcPr>
          <w:p w14:paraId="5F7A6653" w14:textId="13F93E2B" w:rsidR="00A825E9" w:rsidRPr="00446129" w:rsidRDefault="00A825E9" w:rsidP="00141F79">
            <w:pPr>
              <w:rPr>
                <w:color w:val="7030A0"/>
              </w:rPr>
            </w:pPr>
            <w:r w:rsidRPr="00446129">
              <w:rPr>
                <w:color w:val="7030A0"/>
              </w:rPr>
              <w:t>&gt;/= 1000g</w:t>
            </w:r>
          </w:p>
        </w:tc>
        <w:tc>
          <w:tcPr>
            <w:tcW w:w="2254" w:type="dxa"/>
          </w:tcPr>
          <w:p w14:paraId="75B46CF8" w14:textId="754CB012" w:rsidR="00A825E9" w:rsidRPr="00446129" w:rsidRDefault="00A825E9" w:rsidP="00141F79">
            <w:pPr>
              <w:rPr>
                <w:color w:val="7030A0"/>
              </w:rPr>
            </w:pPr>
            <w:r w:rsidRPr="00446129">
              <w:rPr>
                <w:color w:val="7030A0"/>
              </w:rPr>
              <w:t>0</w:t>
            </w:r>
            <w:r w:rsidR="007C0C43">
              <w:rPr>
                <w:color w:val="7030A0"/>
              </w:rPr>
              <w:t xml:space="preserve"> (0%)</w:t>
            </w:r>
          </w:p>
        </w:tc>
      </w:tr>
      <w:tr w:rsidR="00A825E9" w14:paraId="7FD46F85" w14:textId="77777777" w:rsidTr="008C5060">
        <w:tc>
          <w:tcPr>
            <w:tcW w:w="2254" w:type="dxa"/>
          </w:tcPr>
          <w:p w14:paraId="1148DC15" w14:textId="49474B27" w:rsidR="00A825E9" w:rsidRPr="00446129" w:rsidRDefault="00A825E9" w:rsidP="00141F79">
            <w:r w:rsidRPr="00446129">
              <w:t>No rating</w:t>
            </w:r>
          </w:p>
        </w:tc>
        <w:tc>
          <w:tcPr>
            <w:tcW w:w="2254" w:type="dxa"/>
          </w:tcPr>
          <w:p w14:paraId="332FBA2B" w14:textId="77777777" w:rsidR="00A825E9" w:rsidRPr="00446129" w:rsidRDefault="00A825E9" w:rsidP="00141F79"/>
        </w:tc>
        <w:tc>
          <w:tcPr>
            <w:tcW w:w="2254" w:type="dxa"/>
          </w:tcPr>
          <w:p w14:paraId="4905C15D" w14:textId="3FBA868E" w:rsidR="00A825E9" w:rsidRPr="00446129" w:rsidRDefault="00A825E9" w:rsidP="00141F79">
            <w:r w:rsidRPr="00446129">
              <w:t>15</w:t>
            </w:r>
            <w:r w:rsidR="009B4834">
              <w:t xml:space="preserve"> (40%)</w:t>
            </w:r>
          </w:p>
        </w:tc>
      </w:tr>
      <w:tr w:rsidR="00A825E9" w14:paraId="4784063F" w14:textId="77777777" w:rsidTr="00446129">
        <w:trPr>
          <w:trHeight w:val="430"/>
        </w:trPr>
        <w:tc>
          <w:tcPr>
            <w:tcW w:w="2254" w:type="dxa"/>
          </w:tcPr>
          <w:p w14:paraId="70508C4A" w14:textId="51677410" w:rsidR="00A825E9" w:rsidRPr="00446129" w:rsidRDefault="00A825E9" w:rsidP="00141F79">
            <w:pPr>
              <w:rPr>
                <w:b/>
                <w:bCs/>
              </w:rPr>
            </w:pPr>
            <w:r w:rsidRPr="00446129">
              <w:rPr>
                <w:b/>
                <w:bCs/>
              </w:rPr>
              <w:t>Total</w:t>
            </w:r>
          </w:p>
        </w:tc>
        <w:tc>
          <w:tcPr>
            <w:tcW w:w="2254" w:type="dxa"/>
          </w:tcPr>
          <w:p w14:paraId="5D22D603" w14:textId="77777777" w:rsidR="00A825E9" w:rsidRPr="00446129" w:rsidRDefault="00A825E9" w:rsidP="00141F79">
            <w:pPr>
              <w:rPr>
                <w:b/>
                <w:bCs/>
              </w:rPr>
            </w:pPr>
          </w:p>
        </w:tc>
        <w:tc>
          <w:tcPr>
            <w:tcW w:w="2254" w:type="dxa"/>
          </w:tcPr>
          <w:p w14:paraId="1C7916EB" w14:textId="49D61E01" w:rsidR="00A825E9" w:rsidRPr="00446129" w:rsidRDefault="00A825E9" w:rsidP="00141F79">
            <w:pPr>
              <w:rPr>
                <w:b/>
                <w:bCs/>
              </w:rPr>
            </w:pPr>
            <w:r w:rsidRPr="00446129">
              <w:rPr>
                <w:b/>
                <w:bCs/>
              </w:rPr>
              <w:t>37</w:t>
            </w:r>
            <w:r w:rsidR="00FD6DC3">
              <w:rPr>
                <w:b/>
                <w:bCs/>
              </w:rPr>
              <w:t xml:space="preserve"> (100%)</w:t>
            </w:r>
          </w:p>
        </w:tc>
      </w:tr>
    </w:tbl>
    <w:p w14:paraId="19C9B798" w14:textId="77777777" w:rsidR="00C957E7" w:rsidRDefault="00C957E7" w:rsidP="00141F79">
      <w:pPr>
        <w:rPr>
          <w:i/>
          <w:iCs/>
          <w:u w:val="single"/>
        </w:rPr>
      </w:pPr>
    </w:p>
    <w:p w14:paraId="45B10651" w14:textId="77777777" w:rsidR="001F774B" w:rsidRDefault="001F774B" w:rsidP="00141F79">
      <w:pPr>
        <w:rPr>
          <w:i/>
          <w:iCs/>
          <w:u w:val="single"/>
        </w:rPr>
      </w:pPr>
    </w:p>
    <w:p w14:paraId="07F8BE9F" w14:textId="2E0044A5" w:rsidR="00141F79" w:rsidRPr="00446129" w:rsidRDefault="00141F79" w:rsidP="00446129">
      <w:pPr>
        <w:rPr>
          <w:i/>
          <w:iCs/>
          <w:u w:val="single"/>
        </w:rPr>
      </w:pPr>
      <w:r w:rsidRPr="00446129">
        <w:rPr>
          <w:i/>
          <w:iCs/>
          <w:u w:val="single"/>
        </w:rPr>
        <w:t>Cost</w:t>
      </w:r>
      <w:r w:rsidR="00D06E23">
        <w:rPr>
          <w:i/>
          <w:iCs/>
          <w:u w:val="single"/>
        </w:rPr>
        <w:t>s and cost</w:t>
      </w:r>
      <w:r w:rsidRPr="00446129">
        <w:rPr>
          <w:i/>
          <w:iCs/>
          <w:u w:val="single"/>
        </w:rPr>
        <w:t xml:space="preserve"> savings</w:t>
      </w:r>
    </w:p>
    <w:p w14:paraId="265D4DA7" w14:textId="31B28D71" w:rsidR="00452605" w:rsidRDefault="00141F79" w:rsidP="00141F79">
      <w:pPr>
        <w:pStyle w:val="ListParagraph"/>
        <w:numPr>
          <w:ilvl w:val="0"/>
          <w:numId w:val="1"/>
        </w:numPr>
      </w:pPr>
      <w:r>
        <w:lastRenderedPageBreak/>
        <w:t xml:space="preserve">We </w:t>
      </w:r>
      <w:r w:rsidR="00AC3502">
        <w:t>received</w:t>
      </w:r>
      <w:r>
        <w:t xml:space="preserve"> £1000 funding </w:t>
      </w:r>
      <w:r w:rsidR="00AC3502">
        <w:t>from the</w:t>
      </w:r>
      <w:r w:rsidR="00551E98">
        <w:t xml:space="preserve"> </w:t>
      </w:r>
      <w:r w:rsidR="00AC3502">
        <w:t>Q Network</w:t>
      </w:r>
      <w:r w:rsidR="0092445A">
        <w:t xml:space="preserve"> which </w:t>
      </w:r>
      <w:r w:rsidR="00751CD6">
        <w:t xml:space="preserve">was the cost of conducting 80 SMRs. </w:t>
      </w:r>
      <w:r w:rsidR="00A95A83">
        <w:t xml:space="preserve">The pharmacy team agreed to take on the </w:t>
      </w:r>
      <w:r w:rsidR="0092445A">
        <w:t>extra time it took to fill in the audit forms and attend meetings about this project</w:t>
      </w:r>
      <w:r w:rsidR="00A95A83">
        <w:t xml:space="preserve"> (10 mins per patient and meetings every 2 months).</w:t>
      </w:r>
    </w:p>
    <w:p w14:paraId="5E1A9B20" w14:textId="697C370D" w:rsidR="002937CD" w:rsidRDefault="00AC3502" w:rsidP="004A4538">
      <w:pPr>
        <w:pStyle w:val="ListParagraph"/>
        <w:numPr>
          <w:ilvl w:val="0"/>
          <w:numId w:val="1"/>
        </w:numPr>
      </w:pPr>
      <w:r>
        <w:t>The cost savings of</w:t>
      </w:r>
      <w:r w:rsidR="00452605">
        <w:t xml:space="preserve"> </w:t>
      </w:r>
      <w:r w:rsidR="000565D8">
        <w:t xml:space="preserve">37 </w:t>
      </w:r>
      <w:r w:rsidR="004A4538">
        <w:t xml:space="preserve">stopped- </w:t>
      </w:r>
      <w:r w:rsidR="00452605">
        <w:t>and</w:t>
      </w:r>
      <w:r w:rsidR="004100A1">
        <w:t xml:space="preserve"> 32 reduced</w:t>
      </w:r>
      <w:r w:rsidR="004A4538">
        <w:t>-</w:t>
      </w:r>
      <w:r w:rsidR="00452605">
        <w:t xml:space="preserve"> </w:t>
      </w:r>
      <w:r>
        <w:t xml:space="preserve">medications, </w:t>
      </w:r>
      <w:r w:rsidR="004A4538">
        <w:t>was</w:t>
      </w:r>
      <w:r>
        <w:t xml:space="preserve"> </w:t>
      </w:r>
      <w:r w:rsidR="00141F79">
        <w:t xml:space="preserve">£1,855.83 </w:t>
      </w:r>
      <w:r w:rsidR="00551E98">
        <w:t xml:space="preserve"> per annum </w:t>
      </w:r>
      <w:r w:rsidR="00A95A83">
        <w:t>taking into account</w:t>
      </w:r>
      <w:r w:rsidR="00551E98">
        <w:t xml:space="preserve"> the frequency those items were ordered over the preceding 12 months</w:t>
      </w:r>
      <w:r w:rsidR="004A4538">
        <w:t>.</w:t>
      </w:r>
    </w:p>
    <w:p w14:paraId="615BAE98" w14:textId="70C4F566" w:rsidR="00EF63AB" w:rsidRDefault="002937CD" w:rsidP="004A4538">
      <w:pPr>
        <w:pStyle w:val="ListParagraph"/>
        <w:numPr>
          <w:ilvl w:val="0"/>
          <w:numId w:val="1"/>
        </w:numPr>
      </w:pPr>
      <w:r>
        <w:t>Compar</w:t>
      </w:r>
      <w:r w:rsidR="0009397E">
        <w:t>ed</w:t>
      </w:r>
      <w:r>
        <w:t xml:space="preserve"> to </w:t>
      </w:r>
      <w:r w:rsidR="00ED45F1">
        <w:t>the</w:t>
      </w:r>
      <w:r>
        <w:t xml:space="preserve"> average number</w:t>
      </w:r>
      <w:r w:rsidR="0009397E">
        <w:t xml:space="preserve"> of items</w:t>
      </w:r>
      <w:r>
        <w:t xml:space="preserve"> stopped</w:t>
      </w:r>
      <w:r w:rsidR="00213C72">
        <w:t xml:space="preserve"> or reduced</w:t>
      </w:r>
      <w:r>
        <w:t xml:space="preserve"> in the retrospective control group</w:t>
      </w:r>
      <w:r w:rsidR="00213C72">
        <w:t xml:space="preserve"> (35)</w:t>
      </w:r>
      <w:r w:rsidR="0009397E">
        <w:t xml:space="preserve">, </w:t>
      </w:r>
      <w:r w:rsidR="00EF63AB">
        <w:t xml:space="preserve">the average cost savings </w:t>
      </w:r>
      <w:r w:rsidR="00ED45F1">
        <w:t>for</w:t>
      </w:r>
      <w:r w:rsidR="00EF63AB">
        <w:t xml:space="preserve"> this group, by extrapolation, would be</w:t>
      </w:r>
      <w:r w:rsidR="00ED45F1">
        <w:t xml:space="preserve"> </w:t>
      </w:r>
      <w:r w:rsidR="00EF63AB">
        <w:t>£</w:t>
      </w:r>
      <w:r w:rsidR="000F08D0">
        <w:t>941.36</w:t>
      </w:r>
      <w:r w:rsidR="00EF63AB">
        <w:t xml:space="preserve"> per annum. </w:t>
      </w:r>
    </w:p>
    <w:p w14:paraId="600D4EDB" w14:textId="1A3CBCD2" w:rsidR="00141F79" w:rsidRDefault="00EF63AB" w:rsidP="004A4538">
      <w:pPr>
        <w:pStyle w:val="ListParagraph"/>
        <w:numPr>
          <w:ilvl w:val="0"/>
          <w:numId w:val="1"/>
        </w:numPr>
      </w:pPr>
      <w:r>
        <w:t xml:space="preserve">The </w:t>
      </w:r>
      <w:r w:rsidR="0009397E">
        <w:t>de</w:t>
      </w:r>
      <w:r w:rsidR="00ED45F1">
        <w:t>prescribing</w:t>
      </w:r>
      <w:r w:rsidR="0009397E">
        <w:t>-</w:t>
      </w:r>
      <w:r w:rsidR="00ED45F1">
        <w:t>focussed SMR</w:t>
      </w:r>
      <w:r w:rsidR="0009397E">
        <w:t>s</w:t>
      </w:r>
      <w:r w:rsidR="00ED45F1">
        <w:t xml:space="preserve"> have therefore saved</w:t>
      </w:r>
      <w:r w:rsidR="001F4E3C">
        <w:t xml:space="preserve"> £</w:t>
      </w:r>
      <w:r w:rsidR="0080015D">
        <w:t>914.47 for these 81 patients.</w:t>
      </w:r>
      <w:r w:rsidR="004A4538">
        <w:t xml:space="preserve"> </w:t>
      </w:r>
      <w:r w:rsidR="00CB3C30">
        <w:t>If</w:t>
      </w:r>
      <w:r w:rsidR="00602890">
        <w:t xml:space="preserve"> deprescribing-focussed </w:t>
      </w:r>
      <w:r w:rsidR="00DE2CDA">
        <w:t xml:space="preserve">SMRs </w:t>
      </w:r>
      <w:r w:rsidR="00602890">
        <w:t>were the norm</w:t>
      </w:r>
      <w:r w:rsidR="00CB3C30">
        <w:t xml:space="preserve"> for all 4878 patients on &gt;=10 meds in the Central Liverpool PCN</w:t>
      </w:r>
      <w:r w:rsidR="00602890">
        <w:t xml:space="preserve">, </w:t>
      </w:r>
      <w:r w:rsidR="00CB3C30">
        <w:t>this</w:t>
      </w:r>
      <w:r w:rsidR="00D44F98">
        <w:t xml:space="preserve"> would equate to</w:t>
      </w:r>
      <w:r w:rsidR="00E35F9F">
        <w:t xml:space="preserve"> an additional</w:t>
      </w:r>
      <w:r w:rsidR="00D44F98">
        <w:t xml:space="preserve"> </w:t>
      </w:r>
      <w:r w:rsidR="00DE2CDA">
        <w:t>£</w:t>
      </w:r>
      <w:r w:rsidR="0092445A">
        <w:t>55,071.42</w:t>
      </w:r>
      <w:r w:rsidR="00DE2CDA">
        <w:t xml:space="preserve"> saved </w:t>
      </w:r>
      <w:r w:rsidR="00CB3C30">
        <w:t>per annum</w:t>
      </w:r>
      <w:r w:rsidR="00DE2CDA">
        <w:t xml:space="preserve">. </w:t>
      </w:r>
    </w:p>
    <w:p w14:paraId="127FBCA8" w14:textId="77777777" w:rsidR="001E69E3" w:rsidRDefault="001E69E3" w:rsidP="009D1EBF">
      <w:pPr>
        <w:rPr>
          <w:b/>
          <w:bCs/>
        </w:rPr>
      </w:pPr>
    </w:p>
    <w:p w14:paraId="2578107C" w14:textId="2DC399B6" w:rsidR="008B71C9" w:rsidRPr="00446129" w:rsidRDefault="008B71C9" w:rsidP="009D1EBF">
      <w:pPr>
        <w:rPr>
          <w:b/>
          <w:bCs/>
        </w:rPr>
      </w:pPr>
      <w:r>
        <w:rPr>
          <w:b/>
          <w:bCs/>
        </w:rPr>
        <w:t>Discussion</w:t>
      </w:r>
    </w:p>
    <w:p w14:paraId="6E5C6D25" w14:textId="1C5B1FB7" w:rsidR="009D1EBF" w:rsidRDefault="00400E6E" w:rsidP="009D1EBF">
      <w:r>
        <w:t>D</w:t>
      </w:r>
      <w:r w:rsidR="004F1710">
        <w:t>eprescribing-focussed</w:t>
      </w:r>
      <w:r w:rsidR="009D1EBF">
        <w:t xml:space="preserve"> structured medication reviews </w:t>
      </w:r>
      <w:r w:rsidR="00103DE3">
        <w:t xml:space="preserve">on patients on &gt;=10 </w:t>
      </w:r>
      <w:r w:rsidR="00C23F85">
        <w:t>medications, reduce how many medication items are on peoples’ repeat</w:t>
      </w:r>
      <w:r w:rsidR="00717B7E">
        <w:t xml:space="preserve"> (average 0.8 items per patient)</w:t>
      </w:r>
      <w:r w:rsidR="004F1710">
        <w:t xml:space="preserve">, </w:t>
      </w:r>
      <w:r w:rsidR="00C23F85">
        <w:t xml:space="preserve">make for </w:t>
      </w:r>
      <w:r w:rsidR="009D1EBF">
        <w:t>safer</w:t>
      </w:r>
      <w:r w:rsidR="00C23F85">
        <w:t xml:space="preserve"> prescribing</w:t>
      </w:r>
      <w:r w:rsidR="009D1EBF">
        <w:t xml:space="preserve"> with lower side effects</w:t>
      </w:r>
      <w:r w:rsidR="00717B7E">
        <w:t xml:space="preserve"> (lower ACB score)</w:t>
      </w:r>
      <w:r w:rsidR="009D1EBF">
        <w:t xml:space="preserve"> and less interaction</w:t>
      </w:r>
      <w:r w:rsidR="00717B7E">
        <w:t>s</w:t>
      </w:r>
      <w:r w:rsidR="004F1710">
        <w:t xml:space="preserve">, thus improving the quality of </w:t>
      </w:r>
      <w:r w:rsidR="009D1EBF">
        <w:t>patients</w:t>
      </w:r>
      <w:r w:rsidR="00103DE3">
        <w:t>’</w:t>
      </w:r>
      <w:r w:rsidR="009D1EBF">
        <w:t xml:space="preserve"> care.</w:t>
      </w:r>
      <w:r w:rsidR="00C23F85">
        <w:t xml:space="preserve"> It also has significant cost savings and carbon reduction.</w:t>
      </w:r>
    </w:p>
    <w:p w14:paraId="5FF97A4C" w14:textId="3369ECF9" w:rsidR="00E35A97" w:rsidRDefault="00103DE3" w:rsidP="009D1EBF">
      <w:r>
        <w:t xml:space="preserve">Limitations </w:t>
      </w:r>
      <w:r w:rsidR="00057944">
        <w:t xml:space="preserve">were </w:t>
      </w:r>
      <w:r w:rsidR="00D06E23">
        <w:t>two-</w:t>
      </w:r>
      <w:r w:rsidR="00057944">
        <w:t xml:space="preserve">fold </w:t>
      </w:r>
      <w:r w:rsidR="00D06E23">
        <w:t>for</w:t>
      </w:r>
      <w:r w:rsidR="00057944">
        <w:t xml:space="preserve"> this project. </w:t>
      </w:r>
      <w:r w:rsidR="00481CC5">
        <w:t>Firstly,</w:t>
      </w:r>
      <w:r w:rsidR="00057944">
        <w:t xml:space="preserve"> the pharmacists</w:t>
      </w:r>
      <w:r w:rsidR="008B71C9">
        <w:t xml:space="preserve"> </w:t>
      </w:r>
      <w:r>
        <w:t>only focus</w:t>
      </w:r>
      <w:r w:rsidR="00057944">
        <w:t>ed</w:t>
      </w:r>
      <w:r>
        <w:t xml:space="preserve"> on one </w:t>
      </w:r>
      <w:r w:rsidR="00E35A97">
        <w:t>annual review</w:t>
      </w:r>
      <w:r>
        <w:t>. In the short time</w:t>
      </w:r>
      <w:r w:rsidR="00C23F85">
        <w:t>-</w:t>
      </w:r>
      <w:r>
        <w:t>perio</w:t>
      </w:r>
      <w:r w:rsidR="00C04235">
        <w:t>d</w:t>
      </w:r>
      <w:r w:rsidR="00C23F85">
        <w:t>,</w:t>
      </w:r>
      <w:r>
        <w:t xml:space="preserve"> we could </w:t>
      </w:r>
      <w:r w:rsidR="00E35A97">
        <w:t xml:space="preserve">not plan </w:t>
      </w:r>
      <w:r w:rsidR="00887661">
        <w:t>further follow</w:t>
      </w:r>
      <w:r w:rsidR="00C23F85">
        <w:t>-</w:t>
      </w:r>
      <w:r w:rsidR="00887661">
        <w:t xml:space="preserve">up </w:t>
      </w:r>
      <w:r w:rsidR="00E35A97">
        <w:t xml:space="preserve">reviews. </w:t>
      </w:r>
      <w:r w:rsidR="00C23F85">
        <w:t>W</w:t>
      </w:r>
      <w:r w:rsidR="00E35A97">
        <w:t>ith deprescribing, reviews would</w:t>
      </w:r>
      <w:r w:rsidR="00C23F85">
        <w:t xml:space="preserve"> generally</w:t>
      </w:r>
      <w:r w:rsidR="00E35A97">
        <w:t xml:space="preserve"> be necessary</w:t>
      </w:r>
      <w:r w:rsidR="00BE0B82">
        <w:t xml:space="preserve"> </w:t>
      </w:r>
      <w:r w:rsidR="00C23F85">
        <w:t>to review changes and make more</w:t>
      </w:r>
      <w:r w:rsidR="00E35A97">
        <w:t xml:space="preserve">. </w:t>
      </w:r>
      <w:r w:rsidR="00D10CF9">
        <w:t>Secondly, th</w:t>
      </w:r>
      <w:r w:rsidR="00C23F85">
        <w:t>is</w:t>
      </w:r>
      <w:r w:rsidR="00D10CF9">
        <w:t xml:space="preserve"> </w:t>
      </w:r>
      <w:r w:rsidR="00C23F85">
        <w:t>project</w:t>
      </w:r>
      <w:r w:rsidR="00D10CF9">
        <w:t xml:space="preserve"> started with </w:t>
      </w:r>
      <w:r w:rsidR="00CA4305">
        <w:t xml:space="preserve">the objective to deprescribe in </w:t>
      </w:r>
      <w:r w:rsidR="00D10CF9">
        <w:t>patients who were on 20 med</w:t>
      </w:r>
      <w:r w:rsidR="002A6144">
        <w:t xml:space="preserve">ications or more, but because those patients were very complex and often very set in what they take, </w:t>
      </w:r>
      <w:r w:rsidR="00CA4305">
        <w:t>it became</w:t>
      </w:r>
      <w:r w:rsidR="002A6144">
        <w:t xml:space="preserve"> very difficult to make a difference. Having expanded our population to those on 10 or </w:t>
      </w:r>
      <w:r w:rsidR="00F24910">
        <w:t xml:space="preserve">more </w:t>
      </w:r>
      <w:r w:rsidR="002A6144">
        <w:t xml:space="preserve">medications, we were more successful in finding inappropriate medications </w:t>
      </w:r>
      <w:r w:rsidR="00BF70E6">
        <w:t xml:space="preserve">and gaining patient consent to make these changes. </w:t>
      </w:r>
    </w:p>
    <w:p w14:paraId="6662E131" w14:textId="118B17CC" w:rsidR="00C84539" w:rsidRDefault="00244BE9" w:rsidP="0045468A">
      <w:r>
        <w:t xml:space="preserve">The </w:t>
      </w:r>
      <w:r w:rsidR="00717B7E">
        <w:t>cost</w:t>
      </w:r>
      <w:r>
        <w:t xml:space="preserve"> savings are </w:t>
      </w:r>
      <w:r w:rsidR="00717B7E">
        <w:t>large</w:t>
      </w:r>
      <w:r w:rsidR="00BA6F7F">
        <w:t xml:space="preserve">. The absolute savings </w:t>
      </w:r>
      <w:r w:rsidR="00474EB6">
        <w:t xml:space="preserve">were </w:t>
      </w:r>
      <w:r w:rsidR="00B227EF">
        <w:t>£1</w:t>
      </w:r>
      <w:r w:rsidR="00860A96">
        <w:t xml:space="preserve">855 </w:t>
      </w:r>
      <w:r w:rsidR="00887661">
        <w:t>from</w:t>
      </w:r>
      <w:r w:rsidR="00860A96">
        <w:t xml:space="preserve"> 81 SMRs </w:t>
      </w:r>
      <w:r w:rsidR="00F24910">
        <w:t xml:space="preserve">(from </w:t>
      </w:r>
      <w:r w:rsidR="00860A96">
        <w:t xml:space="preserve">37 </w:t>
      </w:r>
      <w:r w:rsidR="00F24910">
        <w:t xml:space="preserve">stopped </w:t>
      </w:r>
      <w:r w:rsidR="00860A96">
        <w:t>med</w:t>
      </w:r>
      <w:r w:rsidR="00474EB6">
        <w:t xml:space="preserve">ications </w:t>
      </w:r>
      <w:r w:rsidR="00860A96">
        <w:t xml:space="preserve">stopped </w:t>
      </w:r>
      <w:r w:rsidR="00474EB6">
        <w:t xml:space="preserve">and </w:t>
      </w:r>
      <w:r w:rsidR="00860A96">
        <w:t>32</w:t>
      </w:r>
      <w:r w:rsidR="00474EB6">
        <w:t xml:space="preserve"> </w:t>
      </w:r>
      <w:r w:rsidR="00860A96">
        <w:t>reduced</w:t>
      </w:r>
      <w:r w:rsidR="00F24910">
        <w:t>)</w:t>
      </w:r>
      <w:r w:rsidR="00717B7E">
        <w:t>. This equates</w:t>
      </w:r>
      <w:r w:rsidR="008B6140">
        <w:t xml:space="preserve"> to: a)</w:t>
      </w:r>
      <w:r w:rsidR="00717B7E">
        <w:t xml:space="preserve"> </w:t>
      </w:r>
      <w:r w:rsidR="00975F54" w:rsidRPr="00244BE9">
        <w:t>£2</w:t>
      </w:r>
      <w:r w:rsidR="00DA571C" w:rsidRPr="00244BE9">
        <w:t>6.9 reduced per medicine stopped/reduced</w:t>
      </w:r>
      <w:r w:rsidR="008B6140">
        <w:t>; b)</w:t>
      </w:r>
      <w:r w:rsidR="00DA571C" w:rsidRPr="00244BE9">
        <w:t xml:space="preserve"> £23 saved per patient</w:t>
      </w:r>
      <w:r w:rsidRPr="00244BE9">
        <w:t xml:space="preserve"> per 12 month period</w:t>
      </w:r>
      <w:r w:rsidR="00717B7E">
        <w:t xml:space="preserve"> </w:t>
      </w:r>
      <w:r w:rsidR="008B6140">
        <w:t>or c)</w:t>
      </w:r>
      <w:r w:rsidR="00717B7E">
        <w:t xml:space="preserve"> £111,</w:t>
      </w:r>
      <w:r w:rsidR="00A25828">
        <w:t>762.21</w:t>
      </w:r>
      <w:r w:rsidR="00717B7E">
        <w:t xml:space="preserve"> per annum across the CLPCN</w:t>
      </w:r>
      <w:r>
        <w:t xml:space="preserve">. </w:t>
      </w:r>
      <w:r w:rsidR="00717B7E">
        <w:t xml:space="preserve">Pharmacists doing </w:t>
      </w:r>
      <w:r>
        <w:t xml:space="preserve">SMRs </w:t>
      </w:r>
      <w:r w:rsidR="00717B7E">
        <w:t xml:space="preserve">as usual </w:t>
      </w:r>
      <w:r>
        <w:t>(</w:t>
      </w:r>
      <w:r w:rsidR="00717B7E">
        <w:t xml:space="preserve">i.e. </w:t>
      </w:r>
      <w:r>
        <w:t xml:space="preserve">our </w:t>
      </w:r>
      <w:r w:rsidR="00717B7E">
        <w:t xml:space="preserve">retrospective </w:t>
      </w:r>
      <w:r>
        <w:t xml:space="preserve">control </w:t>
      </w:r>
      <w:r w:rsidR="00717B7E">
        <w:t>cohort</w:t>
      </w:r>
      <w:r>
        <w:t>) are already deprescribing</w:t>
      </w:r>
      <w:r w:rsidR="003714A2">
        <w:t xml:space="preserve"> </w:t>
      </w:r>
      <w:r w:rsidR="005C1E66">
        <w:t>(they are</w:t>
      </w:r>
      <w:r w:rsidR="003714A2">
        <w:t xml:space="preserve"> encouraged to by the pharmacy network leads</w:t>
      </w:r>
      <w:r w:rsidR="005C1E66">
        <w:t>)</w:t>
      </w:r>
      <w:r>
        <w:t xml:space="preserve">, </w:t>
      </w:r>
      <w:r w:rsidR="005C1E66">
        <w:t>however this group</w:t>
      </w:r>
      <w:r>
        <w:t xml:space="preserve"> only </w:t>
      </w:r>
      <w:r w:rsidR="005C1E66">
        <w:t xml:space="preserve">achieved </w:t>
      </w:r>
      <w:r w:rsidR="0003688D">
        <w:t>half the number of items deprescribed compared to those in</w:t>
      </w:r>
      <w:r>
        <w:t xml:space="preserve"> this intervention</w:t>
      </w:r>
      <w:r w:rsidR="00717B7E">
        <w:t xml:space="preserve">. The </w:t>
      </w:r>
      <w:r w:rsidR="00A25828">
        <w:t>relative</w:t>
      </w:r>
      <w:r w:rsidR="00717B7E">
        <w:t xml:space="preserve"> cost saving of this intervention compared to business as usual SMRs, </w:t>
      </w:r>
      <w:r w:rsidR="00933EE6">
        <w:t>equates to £</w:t>
      </w:r>
      <w:r w:rsidR="00A22F8F">
        <w:t>55</w:t>
      </w:r>
      <w:r w:rsidR="00933EE6">
        <w:t>,000</w:t>
      </w:r>
      <w:r w:rsidR="0038301E">
        <w:t>,</w:t>
      </w:r>
      <w:r w:rsidR="00933EE6">
        <w:t xml:space="preserve"> saved across CLPCN</w:t>
      </w:r>
      <w:r w:rsidR="00EA30AB">
        <w:t xml:space="preserve"> (120,000 </w:t>
      </w:r>
      <w:r w:rsidR="00487466">
        <w:t>population</w:t>
      </w:r>
      <w:r w:rsidR="0038301E">
        <w:t xml:space="preserve"> </w:t>
      </w:r>
      <w:r w:rsidR="0003688D">
        <w:t>(</w:t>
      </w:r>
      <w:r w:rsidR="0038301E">
        <w:t>4500 patients</w:t>
      </w:r>
      <w:r w:rsidR="00EA30AB">
        <w:t xml:space="preserve"> on</w:t>
      </w:r>
      <w:r w:rsidR="0003688D">
        <w:t xml:space="preserve"> &gt;=</w:t>
      </w:r>
      <w:r w:rsidR="00EA30AB">
        <w:t xml:space="preserve"> 10 meds</w:t>
      </w:r>
      <w:r w:rsidR="0003688D">
        <w:t xml:space="preserve">). This is equivalent to </w:t>
      </w:r>
      <w:r w:rsidR="00E57AAB">
        <w:t>£77</w:t>
      </w:r>
      <w:r w:rsidR="007D2EB8">
        <w:t xml:space="preserve">,000 (absolute) or </w:t>
      </w:r>
      <w:r w:rsidR="00AE44FC">
        <w:t>£45</w:t>
      </w:r>
      <w:r w:rsidR="00BA6F7F">
        <w:t>,833</w:t>
      </w:r>
      <w:r w:rsidR="00487466">
        <w:t xml:space="preserve"> </w:t>
      </w:r>
      <w:r w:rsidR="007D2EB8">
        <w:t xml:space="preserve">(relative) saving </w:t>
      </w:r>
      <w:r w:rsidR="00487466">
        <w:t>per 100,000 population)</w:t>
      </w:r>
      <w:r w:rsidR="0038301E">
        <w:t>. Th</w:t>
      </w:r>
      <w:r w:rsidR="00E57AAB">
        <w:t>ese estimated absolute and relative savings are</w:t>
      </w:r>
      <w:r w:rsidR="0038301E">
        <w:t xml:space="preserve"> </w:t>
      </w:r>
      <w:r w:rsidR="00EA30AB">
        <w:t xml:space="preserve">similar to previous </w:t>
      </w:r>
      <w:r w:rsidR="000478F1">
        <w:t>estimated savings (£72,000</w:t>
      </w:r>
      <w:r w:rsidR="00050BE3">
        <w:t xml:space="preserve"> per </w:t>
      </w:r>
      <w:r w:rsidR="00487466">
        <w:t>100,000</w:t>
      </w:r>
      <w:r w:rsidR="00050BE3">
        <w:t xml:space="preserve"> population</w:t>
      </w:r>
      <w:r w:rsidR="00E57AAB">
        <w:t xml:space="preserve"> – an absolute reduction estimate</w:t>
      </w:r>
      <w:r w:rsidR="00050BE3">
        <w:t>)</w:t>
      </w:r>
      <w:r w:rsidR="000A6B7C">
        <w:t>.</w:t>
      </w:r>
      <w:r w:rsidR="00487466">
        <w:rPr>
          <w:rStyle w:val="FootnoteReference"/>
        </w:rPr>
        <w:footnoteReference w:id="6"/>
      </w:r>
    </w:p>
    <w:p w14:paraId="7BBEE5EF" w14:textId="0A3F1D65" w:rsidR="00372EB7" w:rsidRDefault="00372EB7" w:rsidP="0045468A">
      <w:r w:rsidRPr="0076187E">
        <w:t xml:space="preserve">Pharmacist time increased by </w:t>
      </w:r>
      <w:r w:rsidR="002D7FB6" w:rsidRPr="0076187E">
        <w:t>(</w:t>
      </w:r>
      <w:r w:rsidR="007D2EB8" w:rsidRPr="0076187E">
        <w:t>between 0-</w:t>
      </w:r>
      <w:r w:rsidR="009A431D" w:rsidRPr="0076187E">
        <w:t>81</w:t>
      </w:r>
      <w:r w:rsidRPr="0076187E">
        <w:t>mins</w:t>
      </w:r>
      <w:r w:rsidR="009A431D" w:rsidRPr="0076187E">
        <w:t>, average 7 mins</w:t>
      </w:r>
      <w:r w:rsidR="002D7FB6" w:rsidRPr="0076187E">
        <w:t>)</w:t>
      </w:r>
      <w:r w:rsidR="007D2EB8" w:rsidRPr="0076187E">
        <w:t>,</w:t>
      </w:r>
      <w:r w:rsidR="007D2EB8">
        <w:t xml:space="preserve"> so this intervention is feasible at a small increased cost to time, or may even be possible to do within the remits of the current allocated time. Refocussing the SMR to ensure deprescribing is addressed and prioritised is needed.</w:t>
      </w:r>
    </w:p>
    <w:p w14:paraId="3A1F96CE" w14:textId="65F04E14" w:rsidR="000F4B7B" w:rsidRDefault="000F4B7B" w:rsidP="0045468A">
      <w:r>
        <w:lastRenderedPageBreak/>
        <w:t xml:space="preserve">We made a small impact </w:t>
      </w:r>
      <w:r w:rsidR="00D4070F">
        <w:t>on</w:t>
      </w:r>
      <w:r>
        <w:t xml:space="preserve"> reducing</w:t>
      </w:r>
      <w:r w:rsidR="00D4070F">
        <w:t xml:space="preserve"> the</w:t>
      </w:r>
      <w:r>
        <w:t xml:space="preserve"> </w:t>
      </w:r>
      <w:r w:rsidR="00D4070F">
        <w:t>a</w:t>
      </w:r>
      <w:r>
        <w:t>nticholinergic burden during the study for 3 patients. Anticholinergic side effects can lead to dizziness and confusion which can be a falls risk, also dry mouth, blurred vision, constipation and even memory problems and hallucinations. These side effects are more common in older people but these are often the age group who have multiple medications prescribed for a range of long term conditions.</w:t>
      </w:r>
      <w:r w:rsidR="006B162F">
        <w:t xml:space="preserve"> More work is needed to be creative in how to reduce the ACB score, given that patients are reluctant to do so once used to the medication. </w:t>
      </w:r>
    </w:p>
    <w:p w14:paraId="0E057576" w14:textId="0E03A3E7" w:rsidR="000F4B7B" w:rsidRDefault="000F4B7B" w:rsidP="0045468A">
      <w:r>
        <w:t>This study has demonstrated the multiple positive impacts from</w:t>
      </w:r>
      <w:r w:rsidR="006B162F">
        <w:t xml:space="preserve"> having an emphasis of deprescribing within</w:t>
      </w:r>
      <w:r>
        <w:t xml:space="preserve"> structured medication</w:t>
      </w:r>
      <w:r w:rsidR="00C01771">
        <w:t xml:space="preserve"> reviews</w:t>
      </w:r>
      <w:r>
        <w:t>,</w:t>
      </w:r>
      <w:r w:rsidR="006B162F">
        <w:t xml:space="preserve"> </w:t>
      </w:r>
      <w:r w:rsidR="00043D50">
        <w:t xml:space="preserve">for patient, for </w:t>
      </w:r>
      <w:r>
        <w:t xml:space="preserve">medication budgets and the environment. </w:t>
      </w:r>
      <w:r w:rsidR="006B162F">
        <w:t xml:space="preserve">This study was too short to measure reduction in side effects however we know from previous studies that deprescribing has an </w:t>
      </w:r>
      <w:r w:rsidR="000A6B7C">
        <w:t>impact</w:t>
      </w:r>
      <w:r w:rsidR="006B162F">
        <w:t xml:space="preserve"> on improving patient’s quality of life, </w:t>
      </w:r>
      <w:r w:rsidR="001A27A6">
        <w:t xml:space="preserve">and </w:t>
      </w:r>
      <w:r w:rsidR="006B162F">
        <w:t>mortality (for certain medication</w:t>
      </w:r>
      <w:r w:rsidR="001A27A6">
        <w:t>s</w:t>
      </w:r>
      <w:r w:rsidR="006B162F">
        <w:t xml:space="preserve"> such as anticholinergics</w:t>
      </w:r>
      <w:r w:rsidR="001A27A6">
        <w:t>)</w:t>
      </w:r>
      <w:r w:rsidR="006B162F">
        <w:t xml:space="preserve">. </w:t>
      </w:r>
      <w:r>
        <w:t>Investing resources in medication review to ensure patients are taking only the medication which is necessary for them with the minimal amount of side effects is a good use of healthcare funding.</w:t>
      </w:r>
      <w:r w:rsidR="00487B86">
        <w:t xml:space="preserve"> This refocussing is at no added cost, and </w:t>
      </w:r>
      <w:r w:rsidR="00043D50">
        <w:t>results</w:t>
      </w:r>
      <w:r w:rsidR="00487B86">
        <w:t xml:space="preserve"> in large cost savings. </w:t>
      </w:r>
    </w:p>
    <w:p w14:paraId="633282F9" w14:textId="16C587E2" w:rsidR="000F1F99" w:rsidRDefault="000F1F99" w:rsidP="0045468A"/>
    <w:sectPr w:rsidR="000F1F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4CA2" w14:textId="77777777" w:rsidR="007A759A" w:rsidRDefault="007A759A" w:rsidP="005B17FE">
      <w:pPr>
        <w:spacing w:after="0" w:line="240" w:lineRule="auto"/>
      </w:pPr>
      <w:r>
        <w:separator/>
      </w:r>
    </w:p>
  </w:endnote>
  <w:endnote w:type="continuationSeparator" w:id="0">
    <w:p w14:paraId="24D349E8" w14:textId="77777777" w:rsidR="007A759A" w:rsidRDefault="007A759A" w:rsidP="005B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22651"/>
      <w:docPartObj>
        <w:docPartGallery w:val="Page Numbers (Bottom of Page)"/>
        <w:docPartUnique/>
      </w:docPartObj>
    </w:sdtPr>
    <w:sdtEndPr>
      <w:rPr>
        <w:noProof/>
      </w:rPr>
    </w:sdtEndPr>
    <w:sdtContent>
      <w:p w14:paraId="797BD125" w14:textId="38412F8F" w:rsidR="007D642F" w:rsidRDefault="007D6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9DEBD" w14:textId="77777777" w:rsidR="0062340B" w:rsidRDefault="0062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D6459" w14:textId="77777777" w:rsidR="007A759A" w:rsidRDefault="007A759A" w:rsidP="005B17FE">
      <w:pPr>
        <w:spacing w:after="0" w:line="240" w:lineRule="auto"/>
      </w:pPr>
      <w:r>
        <w:separator/>
      </w:r>
    </w:p>
  </w:footnote>
  <w:footnote w:type="continuationSeparator" w:id="0">
    <w:p w14:paraId="1E873DA9" w14:textId="77777777" w:rsidR="007A759A" w:rsidRDefault="007A759A" w:rsidP="005B17FE">
      <w:pPr>
        <w:spacing w:after="0" w:line="240" w:lineRule="auto"/>
      </w:pPr>
      <w:r>
        <w:continuationSeparator/>
      </w:r>
    </w:p>
  </w:footnote>
  <w:footnote w:id="1">
    <w:p w14:paraId="7DBFB8F4" w14:textId="73CAE6D7" w:rsidR="00D601DF" w:rsidRDefault="00D601DF">
      <w:pPr>
        <w:pStyle w:val="FootnoteText"/>
      </w:pPr>
      <w:r>
        <w:rPr>
          <w:rStyle w:val="FootnoteReference"/>
        </w:rPr>
        <w:footnoteRef/>
      </w:r>
      <w:r>
        <w:t xml:space="preserve"> </w:t>
      </w:r>
      <w:r w:rsidRPr="00D601DF">
        <w:rPr>
          <w:lang w:val="en-US"/>
        </w:rPr>
        <w:t xml:space="preserve">Specialist pharmacist service </w:t>
      </w:r>
      <w:hyperlink r:id="rId1" w:history="1">
        <w:r w:rsidRPr="00D601DF">
          <w:rPr>
            <w:rStyle w:val="Hyperlink"/>
            <w:lang w:val="en-US"/>
          </w:rPr>
          <w:t>https://www.sps.nhs.uk/articles/understanding-polypharmacy-overprescribing-and-deprescribing/</w:t>
        </w:r>
      </w:hyperlink>
    </w:p>
  </w:footnote>
  <w:footnote w:id="2">
    <w:p w14:paraId="245FDFE0" w14:textId="4A357D15" w:rsidR="00F758EE" w:rsidRDefault="00F758EE">
      <w:pPr>
        <w:pStyle w:val="FootnoteText"/>
      </w:pPr>
      <w:r>
        <w:rPr>
          <w:rStyle w:val="FootnoteReference"/>
        </w:rPr>
        <w:footnoteRef/>
      </w:r>
      <w:r>
        <w:t xml:space="preserve"> </w:t>
      </w:r>
      <w:r w:rsidR="00D601DF" w:rsidRPr="00D601DF">
        <w:t>Mair A, Fernandez-Llimos F, Alonso A, </w:t>
      </w:r>
      <w:r w:rsidR="00D601DF" w:rsidRPr="00D601DF">
        <w:rPr>
          <w:i/>
          <w:iCs/>
        </w:rPr>
        <w:t>et al.</w:t>
      </w:r>
      <w:r w:rsidR="00D601DF" w:rsidRPr="00D601DF">
        <w:t> Polypharmacy management by 2030: a patient safety challenge. 2nd edn. 2017. </w:t>
      </w:r>
      <w:hyperlink r:id="rId2" w:history="1">
        <w:r w:rsidR="00D601DF" w:rsidRPr="00D601DF">
          <w:rPr>
            <w:rStyle w:val="Hyperlink"/>
          </w:rPr>
          <w:t>https://ec.europa.eu/chafea/health/newsroom/news/documents/polypharmacy-handbook-second-edition_en.pdf</w:t>
        </w:r>
      </w:hyperlink>
    </w:p>
  </w:footnote>
  <w:footnote w:id="3">
    <w:p w14:paraId="4E52ABE5" w14:textId="5B8310D9" w:rsidR="00F758EE" w:rsidRDefault="00F758EE">
      <w:pPr>
        <w:pStyle w:val="FootnoteText"/>
      </w:pPr>
      <w:r>
        <w:rPr>
          <w:rStyle w:val="FootnoteReference"/>
        </w:rPr>
        <w:footnoteRef/>
      </w:r>
      <w:r>
        <w:t xml:space="preserve"> </w:t>
      </w:r>
      <w:r w:rsidR="00D601DF" w:rsidRPr="00D601DF">
        <w:t>Department of Health and Social Care. Good for you, good for us, good for everybody: a plan to reduce overprescribing to make patient care better and safer, support the NHS, and reduce carbon emissions. 2021. </w:t>
      </w:r>
      <w:hyperlink r:id="rId3" w:history="1">
        <w:r w:rsidR="00D601DF" w:rsidRPr="00D601DF">
          <w:rPr>
            <w:rStyle w:val="Hyperlink"/>
          </w:rPr>
          <w:t>https://assets.publishing.service.gov.uk/government/uploads/system/uploads/attachment_data/file/1019475/good-for-you-good-for-us-good-for-everybody.pdf</w:t>
        </w:r>
      </w:hyperlink>
    </w:p>
  </w:footnote>
  <w:footnote w:id="4">
    <w:p w14:paraId="2E6C6161" w14:textId="161CF87E" w:rsidR="00CF56A5" w:rsidRDefault="00CF56A5">
      <w:pPr>
        <w:pStyle w:val="FootnoteText"/>
      </w:pPr>
      <w:r>
        <w:rPr>
          <w:rStyle w:val="FootnoteReference"/>
        </w:rPr>
        <w:footnoteRef/>
      </w:r>
      <w:r>
        <w:t xml:space="preserve"> </w:t>
      </w:r>
      <w:r w:rsidRPr="002149AB">
        <w:t>Strain, W.D., Down, S., Brown, P. </w:t>
      </w:r>
      <w:r w:rsidRPr="002149AB">
        <w:rPr>
          <w:i/>
          <w:iCs/>
        </w:rPr>
        <w:t>et al.</w:t>
      </w:r>
      <w:r w:rsidRPr="002149AB">
        <w:t> Diabetes and Frailty: An Expert Consensus Statement on the Management of Older Adults with Type 2 Diabetes. </w:t>
      </w:r>
      <w:r w:rsidRPr="002149AB">
        <w:rPr>
          <w:i/>
          <w:iCs/>
        </w:rPr>
        <w:t>Diabetes Ther</w:t>
      </w:r>
      <w:r w:rsidRPr="002149AB">
        <w:t> </w:t>
      </w:r>
      <w:r w:rsidRPr="002149AB">
        <w:rPr>
          <w:b/>
          <w:bCs/>
        </w:rPr>
        <w:t>12</w:t>
      </w:r>
      <w:r w:rsidRPr="002149AB">
        <w:t>, 1227–1247 (2021). https://doi.org/10.1007/s13300-021-01035-9</w:t>
      </w:r>
    </w:p>
  </w:footnote>
  <w:footnote w:id="5">
    <w:p w14:paraId="7A6CB76A" w14:textId="640F6D60" w:rsidR="005B17FE" w:rsidRDefault="005B17FE">
      <w:pPr>
        <w:pStyle w:val="FootnoteText"/>
      </w:pPr>
      <w:r>
        <w:rPr>
          <w:rStyle w:val="FootnoteReference"/>
        </w:rPr>
        <w:footnoteRef/>
      </w:r>
      <w:r>
        <w:t xml:space="preserve"> </w:t>
      </w:r>
      <w:r w:rsidRPr="005B17FE">
        <w:t>Taylor, Haroon and Mahamdallie, Shazia and Sawyer, Matthew and Rahman, Nazneen, A Landscape Analysis of Medicine Carbon Footprints Identifies Antibiotics as a Promising Target for Emission Reduction Interventions. Available at SSRN: </w:t>
      </w:r>
      <w:hyperlink r:id="rId4" w:tgtFrame="_blank" w:history="1">
        <w:r w:rsidRPr="005B17FE">
          <w:rPr>
            <w:rStyle w:val="Hyperlink"/>
          </w:rPr>
          <w:t>https://ssrn.com/abstract=4633938</w:t>
        </w:r>
      </w:hyperlink>
      <w:r w:rsidRPr="005B17FE">
        <w:t> or </w:t>
      </w:r>
      <w:hyperlink r:id="rId5" w:tgtFrame="_blank" w:history="1">
        <w:r w:rsidRPr="005B17FE">
          <w:rPr>
            <w:rStyle w:val="Hyperlink"/>
          </w:rPr>
          <w:t>http://dx.doi.org/10.2139/ssrn.4633938</w:t>
        </w:r>
      </w:hyperlink>
    </w:p>
  </w:footnote>
  <w:footnote w:id="6">
    <w:p w14:paraId="51BCD7DF" w14:textId="4228D8C0" w:rsidR="00513C69" w:rsidRPr="00513C69" w:rsidRDefault="00487466" w:rsidP="00513C69">
      <w:pPr>
        <w:pStyle w:val="FootnoteText"/>
        <w:rPr>
          <w:i/>
          <w:iCs/>
        </w:rPr>
      </w:pPr>
      <w:r>
        <w:rPr>
          <w:rStyle w:val="FootnoteReference"/>
        </w:rPr>
        <w:footnoteRef/>
      </w:r>
      <w:r>
        <w:t xml:space="preserve"> </w:t>
      </w:r>
      <w:r w:rsidR="00C218EC" w:rsidRPr="00C218EC">
        <w:rPr>
          <w:i/>
          <w:iCs/>
        </w:rPr>
        <w:t>https://rightdecisions.scot.nhs.uk/polypharmacy-guidance/help-more-info/appendices/appendix-d-health-economics-analysis-of-polypharmacy-reviews/</w:t>
      </w:r>
      <w:r w:rsidR="00513C69" w:rsidRPr="00513C69">
        <w:rPr>
          <w:i/>
          <w:iCs/>
        </w:rPr>
        <w:t>) </w:t>
      </w:r>
    </w:p>
    <w:p w14:paraId="24A7833F" w14:textId="54B25DFA" w:rsidR="00487466" w:rsidRDefault="004874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F5DE" w14:textId="4F59394F" w:rsidR="007D642F" w:rsidRDefault="007D642F">
    <w:pPr>
      <w:pStyle w:val="Header"/>
    </w:pPr>
    <w:r>
      <w:t xml:space="preserve">Deprescribing </w:t>
    </w:r>
    <w:r w:rsidR="00B138A8">
      <w:t>SMRs C</w:t>
    </w:r>
    <w:r>
      <w:t xml:space="preserve">entral </w:t>
    </w:r>
    <w:r w:rsidR="00B138A8">
      <w:t>L</w:t>
    </w:r>
    <w:r>
      <w:t>iverpool</w:t>
    </w:r>
    <w:r w:rsidR="00B138A8">
      <w:t>. Oct 2024.</w:t>
    </w:r>
  </w:p>
  <w:p w14:paraId="2BDEFE8C" w14:textId="77777777" w:rsidR="0062340B" w:rsidRDefault="0062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BCE"/>
    <w:multiLevelType w:val="hybridMultilevel"/>
    <w:tmpl w:val="CB6A5C3A"/>
    <w:lvl w:ilvl="0" w:tplc="A5427DD2">
      <w:start w:val="1"/>
      <w:numFmt w:val="decimal"/>
      <w:lvlText w:val="%1."/>
      <w:lvlJc w:val="left"/>
      <w:pPr>
        <w:tabs>
          <w:tab w:val="num" w:pos="720"/>
        </w:tabs>
        <w:ind w:left="720" w:hanging="360"/>
      </w:pPr>
    </w:lvl>
    <w:lvl w:ilvl="1" w:tplc="6D9A416C" w:tentative="1">
      <w:start w:val="1"/>
      <w:numFmt w:val="decimal"/>
      <w:lvlText w:val="%2."/>
      <w:lvlJc w:val="left"/>
      <w:pPr>
        <w:tabs>
          <w:tab w:val="num" w:pos="1440"/>
        </w:tabs>
        <w:ind w:left="1440" w:hanging="360"/>
      </w:pPr>
    </w:lvl>
    <w:lvl w:ilvl="2" w:tplc="4F8C255C" w:tentative="1">
      <w:start w:val="1"/>
      <w:numFmt w:val="decimal"/>
      <w:lvlText w:val="%3."/>
      <w:lvlJc w:val="left"/>
      <w:pPr>
        <w:tabs>
          <w:tab w:val="num" w:pos="2160"/>
        </w:tabs>
        <w:ind w:left="2160" w:hanging="360"/>
      </w:pPr>
    </w:lvl>
    <w:lvl w:ilvl="3" w:tplc="AA70FA90" w:tentative="1">
      <w:start w:val="1"/>
      <w:numFmt w:val="decimal"/>
      <w:lvlText w:val="%4."/>
      <w:lvlJc w:val="left"/>
      <w:pPr>
        <w:tabs>
          <w:tab w:val="num" w:pos="2880"/>
        </w:tabs>
        <w:ind w:left="2880" w:hanging="360"/>
      </w:pPr>
    </w:lvl>
    <w:lvl w:ilvl="4" w:tplc="2D02321C" w:tentative="1">
      <w:start w:val="1"/>
      <w:numFmt w:val="decimal"/>
      <w:lvlText w:val="%5."/>
      <w:lvlJc w:val="left"/>
      <w:pPr>
        <w:tabs>
          <w:tab w:val="num" w:pos="3600"/>
        </w:tabs>
        <w:ind w:left="3600" w:hanging="360"/>
      </w:pPr>
    </w:lvl>
    <w:lvl w:ilvl="5" w:tplc="E4D2115C" w:tentative="1">
      <w:start w:val="1"/>
      <w:numFmt w:val="decimal"/>
      <w:lvlText w:val="%6."/>
      <w:lvlJc w:val="left"/>
      <w:pPr>
        <w:tabs>
          <w:tab w:val="num" w:pos="4320"/>
        </w:tabs>
        <w:ind w:left="4320" w:hanging="360"/>
      </w:pPr>
    </w:lvl>
    <w:lvl w:ilvl="6" w:tplc="386E274A" w:tentative="1">
      <w:start w:val="1"/>
      <w:numFmt w:val="decimal"/>
      <w:lvlText w:val="%7."/>
      <w:lvlJc w:val="left"/>
      <w:pPr>
        <w:tabs>
          <w:tab w:val="num" w:pos="5040"/>
        </w:tabs>
        <w:ind w:left="5040" w:hanging="360"/>
      </w:pPr>
    </w:lvl>
    <w:lvl w:ilvl="7" w:tplc="B478F01C" w:tentative="1">
      <w:start w:val="1"/>
      <w:numFmt w:val="decimal"/>
      <w:lvlText w:val="%8."/>
      <w:lvlJc w:val="left"/>
      <w:pPr>
        <w:tabs>
          <w:tab w:val="num" w:pos="5760"/>
        </w:tabs>
        <w:ind w:left="5760" w:hanging="360"/>
      </w:pPr>
    </w:lvl>
    <w:lvl w:ilvl="8" w:tplc="2BCEFEBE" w:tentative="1">
      <w:start w:val="1"/>
      <w:numFmt w:val="decimal"/>
      <w:lvlText w:val="%9."/>
      <w:lvlJc w:val="left"/>
      <w:pPr>
        <w:tabs>
          <w:tab w:val="num" w:pos="6480"/>
        </w:tabs>
        <w:ind w:left="6480" w:hanging="360"/>
      </w:pPr>
    </w:lvl>
  </w:abstractNum>
  <w:abstractNum w:abstractNumId="1" w15:restartNumberingAfterBreak="0">
    <w:nsid w:val="489126A3"/>
    <w:multiLevelType w:val="hybridMultilevel"/>
    <w:tmpl w:val="30408C16"/>
    <w:lvl w:ilvl="0" w:tplc="D0167918">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372728984">
    <w:abstractNumId w:val="1"/>
  </w:num>
  <w:num w:numId="2" w16cid:durableId="118601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8A"/>
    <w:rsid w:val="000132DC"/>
    <w:rsid w:val="0003688D"/>
    <w:rsid w:val="00043D50"/>
    <w:rsid w:val="000452EE"/>
    <w:rsid w:val="00045FE6"/>
    <w:rsid w:val="000478F1"/>
    <w:rsid w:val="00050BE3"/>
    <w:rsid w:val="0005322B"/>
    <w:rsid w:val="000565D8"/>
    <w:rsid w:val="00057944"/>
    <w:rsid w:val="00091D9F"/>
    <w:rsid w:val="0009316C"/>
    <w:rsid w:val="0009397E"/>
    <w:rsid w:val="000A6B7C"/>
    <w:rsid w:val="000B5755"/>
    <w:rsid w:val="000B71B1"/>
    <w:rsid w:val="000C0FE0"/>
    <w:rsid w:val="000D2F26"/>
    <w:rsid w:val="000D475D"/>
    <w:rsid w:val="000E5B62"/>
    <w:rsid w:val="000F08D0"/>
    <w:rsid w:val="000F1F99"/>
    <w:rsid w:val="000F468E"/>
    <w:rsid w:val="000F4B7B"/>
    <w:rsid w:val="00101A5B"/>
    <w:rsid w:val="00103DE3"/>
    <w:rsid w:val="00114E10"/>
    <w:rsid w:val="00133B3E"/>
    <w:rsid w:val="00133D1A"/>
    <w:rsid w:val="00141F79"/>
    <w:rsid w:val="00155D71"/>
    <w:rsid w:val="00163A38"/>
    <w:rsid w:val="00184446"/>
    <w:rsid w:val="00184D31"/>
    <w:rsid w:val="00187A36"/>
    <w:rsid w:val="001956D4"/>
    <w:rsid w:val="001A22B4"/>
    <w:rsid w:val="001A27A6"/>
    <w:rsid w:val="001A27CF"/>
    <w:rsid w:val="001B588F"/>
    <w:rsid w:val="001E69E3"/>
    <w:rsid w:val="001F4E3C"/>
    <w:rsid w:val="001F774B"/>
    <w:rsid w:val="002109B8"/>
    <w:rsid w:val="00213C72"/>
    <w:rsid w:val="002149AB"/>
    <w:rsid w:val="002239D9"/>
    <w:rsid w:val="002412DD"/>
    <w:rsid w:val="00244BE9"/>
    <w:rsid w:val="00252E95"/>
    <w:rsid w:val="00271644"/>
    <w:rsid w:val="00283CA5"/>
    <w:rsid w:val="002937CD"/>
    <w:rsid w:val="002A5E92"/>
    <w:rsid w:val="002A6144"/>
    <w:rsid w:val="002B1FE4"/>
    <w:rsid w:val="002B2151"/>
    <w:rsid w:val="002B7918"/>
    <w:rsid w:val="002D2C8F"/>
    <w:rsid w:val="002D5651"/>
    <w:rsid w:val="002D7FB6"/>
    <w:rsid w:val="002E7DCC"/>
    <w:rsid w:val="002F0452"/>
    <w:rsid w:val="002F2D00"/>
    <w:rsid w:val="002F3BCA"/>
    <w:rsid w:val="00325C01"/>
    <w:rsid w:val="00331F91"/>
    <w:rsid w:val="003449BB"/>
    <w:rsid w:val="003543DE"/>
    <w:rsid w:val="00365A24"/>
    <w:rsid w:val="003714A2"/>
    <w:rsid w:val="00372EB7"/>
    <w:rsid w:val="00380414"/>
    <w:rsid w:val="0038301E"/>
    <w:rsid w:val="0039500E"/>
    <w:rsid w:val="003B08D3"/>
    <w:rsid w:val="003B1476"/>
    <w:rsid w:val="003B1BE9"/>
    <w:rsid w:val="003B7297"/>
    <w:rsid w:val="003C2C0F"/>
    <w:rsid w:val="003D67B0"/>
    <w:rsid w:val="003E4861"/>
    <w:rsid w:val="003E61E6"/>
    <w:rsid w:val="003F5EF0"/>
    <w:rsid w:val="00400E6E"/>
    <w:rsid w:val="0040763B"/>
    <w:rsid w:val="004100A1"/>
    <w:rsid w:val="004163AB"/>
    <w:rsid w:val="00433C2D"/>
    <w:rsid w:val="004369A2"/>
    <w:rsid w:val="0043768E"/>
    <w:rsid w:val="00446129"/>
    <w:rsid w:val="00452605"/>
    <w:rsid w:val="0045271C"/>
    <w:rsid w:val="0045468A"/>
    <w:rsid w:val="004662F0"/>
    <w:rsid w:val="00474EB6"/>
    <w:rsid w:val="00481CC5"/>
    <w:rsid w:val="00487466"/>
    <w:rsid w:val="00487B86"/>
    <w:rsid w:val="0049484A"/>
    <w:rsid w:val="004A4538"/>
    <w:rsid w:val="004A4A7F"/>
    <w:rsid w:val="004B2E68"/>
    <w:rsid w:val="004C1489"/>
    <w:rsid w:val="004D317B"/>
    <w:rsid w:val="004E5363"/>
    <w:rsid w:val="004E7675"/>
    <w:rsid w:val="004E7D31"/>
    <w:rsid w:val="004F1710"/>
    <w:rsid w:val="00500853"/>
    <w:rsid w:val="00510064"/>
    <w:rsid w:val="00513C69"/>
    <w:rsid w:val="005150E8"/>
    <w:rsid w:val="005272CD"/>
    <w:rsid w:val="00534E84"/>
    <w:rsid w:val="00544DCD"/>
    <w:rsid w:val="00545710"/>
    <w:rsid w:val="00551E98"/>
    <w:rsid w:val="00562475"/>
    <w:rsid w:val="0056411B"/>
    <w:rsid w:val="005719B2"/>
    <w:rsid w:val="00580AAC"/>
    <w:rsid w:val="0058149E"/>
    <w:rsid w:val="005A2B67"/>
    <w:rsid w:val="005A5B3D"/>
    <w:rsid w:val="005B17FE"/>
    <w:rsid w:val="005B78BD"/>
    <w:rsid w:val="005C100E"/>
    <w:rsid w:val="005C1E66"/>
    <w:rsid w:val="005D59B2"/>
    <w:rsid w:val="00602890"/>
    <w:rsid w:val="00604632"/>
    <w:rsid w:val="006228A1"/>
    <w:rsid w:val="0062340B"/>
    <w:rsid w:val="00642253"/>
    <w:rsid w:val="00643478"/>
    <w:rsid w:val="00666CC3"/>
    <w:rsid w:val="00670BC0"/>
    <w:rsid w:val="006817F5"/>
    <w:rsid w:val="006822A8"/>
    <w:rsid w:val="006A0A52"/>
    <w:rsid w:val="006B162F"/>
    <w:rsid w:val="006B3071"/>
    <w:rsid w:val="006D6620"/>
    <w:rsid w:val="006E7FB2"/>
    <w:rsid w:val="006F2AD3"/>
    <w:rsid w:val="00702C56"/>
    <w:rsid w:val="00707F0E"/>
    <w:rsid w:val="007119CA"/>
    <w:rsid w:val="00711DB0"/>
    <w:rsid w:val="00717B7E"/>
    <w:rsid w:val="007244DC"/>
    <w:rsid w:val="0073629E"/>
    <w:rsid w:val="00751CD6"/>
    <w:rsid w:val="00754DFE"/>
    <w:rsid w:val="0076187E"/>
    <w:rsid w:val="0077049A"/>
    <w:rsid w:val="00787D90"/>
    <w:rsid w:val="007A2D69"/>
    <w:rsid w:val="007A759A"/>
    <w:rsid w:val="007C0C43"/>
    <w:rsid w:val="007D2EB8"/>
    <w:rsid w:val="007D5472"/>
    <w:rsid w:val="007D642F"/>
    <w:rsid w:val="007E07C8"/>
    <w:rsid w:val="007E723B"/>
    <w:rsid w:val="007F2B25"/>
    <w:rsid w:val="0080015D"/>
    <w:rsid w:val="00801348"/>
    <w:rsid w:val="008018CC"/>
    <w:rsid w:val="00811EC4"/>
    <w:rsid w:val="00820B97"/>
    <w:rsid w:val="00833025"/>
    <w:rsid w:val="00835CD4"/>
    <w:rsid w:val="00850B46"/>
    <w:rsid w:val="00854C7A"/>
    <w:rsid w:val="00857173"/>
    <w:rsid w:val="00860A96"/>
    <w:rsid w:val="00887661"/>
    <w:rsid w:val="00887806"/>
    <w:rsid w:val="00894B01"/>
    <w:rsid w:val="008B201D"/>
    <w:rsid w:val="008B6140"/>
    <w:rsid w:val="008B71C9"/>
    <w:rsid w:val="008C5060"/>
    <w:rsid w:val="008D793D"/>
    <w:rsid w:val="008E3A79"/>
    <w:rsid w:val="008E5272"/>
    <w:rsid w:val="00913F6A"/>
    <w:rsid w:val="0092445A"/>
    <w:rsid w:val="00927CAA"/>
    <w:rsid w:val="00927E28"/>
    <w:rsid w:val="00933CF6"/>
    <w:rsid w:val="00933EE6"/>
    <w:rsid w:val="00975F54"/>
    <w:rsid w:val="0098703D"/>
    <w:rsid w:val="009A431D"/>
    <w:rsid w:val="009B378E"/>
    <w:rsid w:val="009B4834"/>
    <w:rsid w:val="009C26A3"/>
    <w:rsid w:val="009C6E0D"/>
    <w:rsid w:val="009C6F72"/>
    <w:rsid w:val="009D1EBF"/>
    <w:rsid w:val="009D23F5"/>
    <w:rsid w:val="009D4217"/>
    <w:rsid w:val="009D52E1"/>
    <w:rsid w:val="009F066F"/>
    <w:rsid w:val="00A22F8F"/>
    <w:rsid w:val="00A25828"/>
    <w:rsid w:val="00A3168F"/>
    <w:rsid w:val="00A43863"/>
    <w:rsid w:val="00A53B5E"/>
    <w:rsid w:val="00A76351"/>
    <w:rsid w:val="00A825E9"/>
    <w:rsid w:val="00A85A98"/>
    <w:rsid w:val="00A95A83"/>
    <w:rsid w:val="00A96A17"/>
    <w:rsid w:val="00AB109B"/>
    <w:rsid w:val="00AB1DEB"/>
    <w:rsid w:val="00AC25AB"/>
    <w:rsid w:val="00AC3502"/>
    <w:rsid w:val="00AD2B8D"/>
    <w:rsid w:val="00AD49D5"/>
    <w:rsid w:val="00AE44FC"/>
    <w:rsid w:val="00AF3734"/>
    <w:rsid w:val="00B138A8"/>
    <w:rsid w:val="00B172F0"/>
    <w:rsid w:val="00B227EF"/>
    <w:rsid w:val="00B26ED4"/>
    <w:rsid w:val="00B333AB"/>
    <w:rsid w:val="00B46CC7"/>
    <w:rsid w:val="00B51024"/>
    <w:rsid w:val="00B53CF2"/>
    <w:rsid w:val="00B603DB"/>
    <w:rsid w:val="00B63539"/>
    <w:rsid w:val="00B702DE"/>
    <w:rsid w:val="00B82ADE"/>
    <w:rsid w:val="00BA6F7F"/>
    <w:rsid w:val="00BE0B82"/>
    <w:rsid w:val="00BE7C2D"/>
    <w:rsid w:val="00BF70E6"/>
    <w:rsid w:val="00C008EF"/>
    <w:rsid w:val="00C01634"/>
    <w:rsid w:val="00C01771"/>
    <w:rsid w:val="00C031FC"/>
    <w:rsid w:val="00C04235"/>
    <w:rsid w:val="00C063F1"/>
    <w:rsid w:val="00C17ABB"/>
    <w:rsid w:val="00C218EC"/>
    <w:rsid w:val="00C23F85"/>
    <w:rsid w:val="00C23FAF"/>
    <w:rsid w:val="00C248CE"/>
    <w:rsid w:val="00C4504C"/>
    <w:rsid w:val="00C57FC2"/>
    <w:rsid w:val="00C62742"/>
    <w:rsid w:val="00C64066"/>
    <w:rsid w:val="00C844E2"/>
    <w:rsid w:val="00C84539"/>
    <w:rsid w:val="00C957E7"/>
    <w:rsid w:val="00CA4305"/>
    <w:rsid w:val="00CB3C30"/>
    <w:rsid w:val="00CC2E61"/>
    <w:rsid w:val="00CF56A5"/>
    <w:rsid w:val="00CF7849"/>
    <w:rsid w:val="00D02C31"/>
    <w:rsid w:val="00D06E23"/>
    <w:rsid w:val="00D10CF9"/>
    <w:rsid w:val="00D24C78"/>
    <w:rsid w:val="00D3522F"/>
    <w:rsid w:val="00D4070F"/>
    <w:rsid w:val="00D40876"/>
    <w:rsid w:val="00D44F98"/>
    <w:rsid w:val="00D56528"/>
    <w:rsid w:val="00D601DF"/>
    <w:rsid w:val="00D66C0E"/>
    <w:rsid w:val="00D846D8"/>
    <w:rsid w:val="00D9657D"/>
    <w:rsid w:val="00D96FD9"/>
    <w:rsid w:val="00DA571C"/>
    <w:rsid w:val="00DC3FFB"/>
    <w:rsid w:val="00DC67E9"/>
    <w:rsid w:val="00DD3AA1"/>
    <w:rsid w:val="00DE2CDA"/>
    <w:rsid w:val="00E073AC"/>
    <w:rsid w:val="00E07B65"/>
    <w:rsid w:val="00E32BDD"/>
    <w:rsid w:val="00E35A97"/>
    <w:rsid w:val="00E35F9F"/>
    <w:rsid w:val="00E46354"/>
    <w:rsid w:val="00E57AAB"/>
    <w:rsid w:val="00E74081"/>
    <w:rsid w:val="00E840C6"/>
    <w:rsid w:val="00E920B6"/>
    <w:rsid w:val="00E93EA6"/>
    <w:rsid w:val="00EA30AB"/>
    <w:rsid w:val="00EB18F2"/>
    <w:rsid w:val="00EC291F"/>
    <w:rsid w:val="00ED45F1"/>
    <w:rsid w:val="00ED50A0"/>
    <w:rsid w:val="00EE1718"/>
    <w:rsid w:val="00EF1A70"/>
    <w:rsid w:val="00EF63AB"/>
    <w:rsid w:val="00F03F28"/>
    <w:rsid w:val="00F15A5C"/>
    <w:rsid w:val="00F24910"/>
    <w:rsid w:val="00F30513"/>
    <w:rsid w:val="00F43312"/>
    <w:rsid w:val="00F469ED"/>
    <w:rsid w:val="00F51F49"/>
    <w:rsid w:val="00F758EE"/>
    <w:rsid w:val="00F772A4"/>
    <w:rsid w:val="00FA7703"/>
    <w:rsid w:val="00FB74EC"/>
    <w:rsid w:val="00FD6DC3"/>
    <w:rsid w:val="00FE5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07DD"/>
  <w15:chartTrackingRefBased/>
  <w15:docId w15:val="{C66DAB69-35F4-45AE-9AC3-9A8C55C1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68A"/>
    <w:rPr>
      <w:rFonts w:eastAsiaTheme="majorEastAsia" w:cstheme="majorBidi"/>
      <w:color w:val="272727" w:themeColor="text1" w:themeTint="D8"/>
    </w:rPr>
  </w:style>
  <w:style w:type="paragraph" w:styleId="Title">
    <w:name w:val="Title"/>
    <w:basedOn w:val="Normal"/>
    <w:next w:val="Normal"/>
    <w:link w:val="TitleChar"/>
    <w:uiPriority w:val="10"/>
    <w:qFormat/>
    <w:rsid w:val="00454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68A"/>
    <w:pPr>
      <w:spacing w:before="160"/>
      <w:jc w:val="center"/>
    </w:pPr>
    <w:rPr>
      <w:i/>
      <w:iCs/>
      <w:color w:val="404040" w:themeColor="text1" w:themeTint="BF"/>
    </w:rPr>
  </w:style>
  <w:style w:type="character" w:customStyle="1" w:styleId="QuoteChar">
    <w:name w:val="Quote Char"/>
    <w:basedOn w:val="DefaultParagraphFont"/>
    <w:link w:val="Quote"/>
    <w:uiPriority w:val="29"/>
    <w:rsid w:val="0045468A"/>
    <w:rPr>
      <w:i/>
      <w:iCs/>
      <w:color w:val="404040" w:themeColor="text1" w:themeTint="BF"/>
    </w:rPr>
  </w:style>
  <w:style w:type="paragraph" w:styleId="ListParagraph">
    <w:name w:val="List Paragraph"/>
    <w:basedOn w:val="Normal"/>
    <w:uiPriority w:val="34"/>
    <w:qFormat/>
    <w:rsid w:val="0045468A"/>
    <w:pPr>
      <w:ind w:left="720"/>
      <w:contextualSpacing/>
    </w:pPr>
  </w:style>
  <w:style w:type="character" w:styleId="IntenseEmphasis">
    <w:name w:val="Intense Emphasis"/>
    <w:basedOn w:val="DefaultParagraphFont"/>
    <w:uiPriority w:val="21"/>
    <w:qFormat/>
    <w:rsid w:val="0045468A"/>
    <w:rPr>
      <w:i/>
      <w:iCs/>
      <w:color w:val="0F4761" w:themeColor="accent1" w:themeShade="BF"/>
    </w:rPr>
  </w:style>
  <w:style w:type="paragraph" w:styleId="IntenseQuote">
    <w:name w:val="Intense Quote"/>
    <w:basedOn w:val="Normal"/>
    <w:next w:val="Normal"/>
    <w:link w:val="IntenseQuoteChar"/>
    <w:uiPriority w:val="30"/>
    <w:qFormat/>
    <w:rsid w:val="00454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68A"/>
    <w:rPr>
      <w:i/>
      <w:iCs/>
      <w:color w:val="0F4761" w:themeColor="accent1" w:themeShade="BF"/>
    </w:rPr>
  </w:style>
  <w:style w:type="character" w:styleId="IntenseReference">
    <w:name w:val="Intense Reference"/>
    <w:basedOn w:val="DefaultParagraphFont"/>
    <w:uiPriority w:val="32"/>
    <w:qFormat/>
    <w:rsid w:val="0045468A"/>
    <w:rPr>
      <w:b/>
      <w:bCs/>
      <w:smallCaps/>
      <w:color w:val="0F4761" w:themeColor="accent1" w:themeShade="BF"/>
      <w:spacing w:val="5"/>
    </w:rPr>
  </w:style>
  <w:style w:type="character" w:styleId="CommentReference">
    <w:name w:val="annotation reference"/>
    <w:basedOn w:val="DefaultParagraphFont"/>
    <w:uiPriority w:val="99"/>
    <w:semiHidden/>
    <w:unhideWhenUsed/>
    <w:rsid w:val="002F0452"/>
    <w:rPr>
      <w:sz w:val="16"/>
      <w:szCs w:val="16"/>
    </w:rPr>
  </w:style>
  <w:style w:type="paragraph" w:styleId="CommentText">
    <w:name w:val="annotation text"/>
    <w:basedOn w:val="Normal"/>
    <w:link w:val="CommentTextChar"/>
    <w:uiPriority w:val="99"/>
    <w:unhideWhenUsed/>
    <w:rsid w:val="002F0452"/>
    <w:pPr>
      <w:spacing w:line="240" w:lineRule="auto"/>
    </w:pPr>
    <w:rPr>
      <w:sz w:val="20"/>
      <w:szCs w:val="20"/>
    </w:rPr>
  </w:style>
  <w:style w:type="character" w:customStyle="1" w:styleId="CommentTextChar">
    <w:name w:val="Comment Text Char"/>
    <w:basedOn w:val="DefaultParagraphFont"/>
    <w:link w:val="CommentText"/>
    <w:uiPriority w:val="99"/>
    <w:rsid w:val="002F0452"/>
    <w:rPr>
      <w:sz w:val="20"/>
      <w:szCs w:val="20"/>
    </w:rPr>
  </w:style>
  <w:style w:type="paragraph" w:styleId="CommentSubject">
    <w:name w:val="annotation subject"/>
    <w:basedOn w:val="CommentText"/>
    <w:next w:val="CommentText"/>
    <w:link w:val="CommentSubjectChar"/>
    <w:uiPriority w:val="99"/>
    <w:semiHidden/>
    <w:unhideWhenUsed/>
    <w:rsid w:val="002F0452"/>
    <w:rPr>
      <w:b/>
      <w:bCs/>
    </w:rPr>
  </w:style>
  <w:style w:type="character" w:customStyle="1" w:styleId="CommentSubjectChar">
    <w:name w:val="Comment Subject Char"/>
    <w:basedOn w:val="CommentTextChar"/>
    <w:link w:val="CommentSubject"/>
    <w:uiPriority w:val="99"/>
    <w:semiHidden/>
    <w:rsid w:val="002F0452"/>
    <w:rPr>
      <w:b/>
      <w:bCs/>
      <w:sz w:val="20"/>
      <w:szCs w:val="20"/>
    </w:rPr>
  </w:style>
  <w:style w:type="paragraph" w:styleId="Revision">
    <w:name w:val="Revision"/>
    <w:hidden/>
    <w:uiPriority w:val="99"/>
    <w:semiHidden/>
    <w:rsid w:val="000132DC"/>
    <w:pPr>
      <w:spacing w:after="0" w:line="240" w:lineRule="auto"/>
    </w:pPr>
  </w:style>
  <w:style w:type="character" w:styleId="Hyperlink">
    <w:name w:val="Hyperlink"/>
    <w:basedOn w:val="DefaultParagraphFont"/>
    <w:uiPriority w:val="99"/>
    <w:unhideWhenUsed/>
    <w:rsid w:val="003B08D3"/>
    <w:rPr>
      <w:color w:val="467886" w:themeColor="hyperlink"/>
      <w:u w:val="single"/>
    </w:rPr>
  </w:style>
  <w:style w:type="character" w:styleId="UnresolvedMention">
    <w:name w:val="Unresolved Mention"/>
    <w:basedOn w:val="DefaultParagraphFont"/>
    <w:uiPriority w:val="99"/>
    <w:semiHidden/>
    <w:unhideWhenUsed/>
    <w:rsid w:val="003B08D3"/>
    <w:rPr>
      <w:color w:val="605E5C"/>
      <w:shd w:val="clear" w:color="auto" w:fill="E1DFDD"/>
    </w:rPr>
  </w:style>
  <w:style w:type="table" w:styleId="TableGrid">
    <w:name w:val="Table Grid"/>
    <w:basedOn w:val="TableNormal"/>
    <w:uiPriority w:val="39"/>
    <w:rsid w:val="008C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1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7FE"/>
    <w:rPr>
      <w:sz w:val="20"/>
      <w:szCs w:val="20"/>
    </w:rPr>
  </w:style>
  <w:style w:type="character" w:styleId="FootnoteReference">
    <w:name w:val="footnote reference"/>
    <w:basedOn w:val="DefaultParagraphFont"/>
    <w:uiPriority w:val="99"/>
    <w:semiHidden/>
    <w:unhideWhenUsed/>
    <w:rsid w:val="005B17FE"/>
    <w:rPr>
      <w:vertAlign w:val="superscript"/>
    </w:rPr>
  </w:style>
  <w:style w:type="paragraph" w:styleId="NormalWeb">
    <w:name w:val="Normal (Web)"/>
    <w:basedOn w:val="Normal"/>
    <w:uiPriority w:val="99"/>
    <w:semiHidden/>
    <w:unhideWhenUsed/>
    <w:rsid w:val="00513C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214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9AB"/>
    <w:rPr>
      <w:sz w:val="20"/>
      <w:szCs w:val="20"/>
    </w:rPr>
  </w:style>
  <w:style w:type="character" w:styleId="EndnoteReference">
    <w:name w:val="endnote reference"/>
    <w:basedOn w:val="DefaultParagraphFont"/>
    <w:uiPriority w:val="99"/>
    <w:semiHidden/>
    <w:unhideWhenUsed/>
    <w:rsid w:val="002149AB"/>
    <w:rPr>
      <w:vertAlign w:val="superscript"/>
    </w:rPr>
  </w:style>
  <w:style w:type="paragraph" w:styleId="Header">
    <w:name w:val="header"/>
    <w:basedOn w:val="Normal"/>
    <w:link w:val="HeaderChar"/>
    <w:uiPriority w:val="99"/>
    <w:unhideWhenUsed/>
    <w:rsid w:val="00623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40B"/>
  </w:style>
  <w:style w:type="paragraph" w:styleId="Footer">
    <w:name w:val="footer"/>
    <w:basedOn w:val="Normal"/>
    <w:link w:val="FooterChar"/>
    <w:uiPriority w:val="99"/>
    <w:unhideWhenUsed/>
    <w:rsid w:val="00623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50473">
      <w:bodyDiv w:val="1"/>
      <w:marLeft w:val="0"/>
      <w:marRight w:val="0"/>
      <w:marTop w:val="0"/>
      <w:marBottom w:val="0"/>
      <w:divBdr>
        <w:top w:val="none" w:sz="0" w:space="0" w:color="auto"/>
        <w:left w:val="none" w:sz="0" w:space="0" w:color="auto"/>
        <w:bottom w:val="none" w:sz="0" w:space="0" w:color="auto"/>
        <w:right w:val="none" w:sz="0" w:space="0" w:color="auto"/>
      </w:divBdr>
    </w:div>
    <w:div w:id="796337389">
      <w:bodyDiv w:val="1"/>
      <w:marLeft w:val="0"/>
      <w:marRight w:val="0"/>
      <w:marTop w:val="0"/>
      <w:marBottom w:val="0"/>
      <w:divBdr>
        <w:top w:val="none" w:sz="0" w:space="0" w:color="auto"/>
        <w:left w:val="none" w:sz="0" w:space="0" w:color="auto"/>
        <w:bottom w:val="none" w:sz="0" w:space="0" w:color="auto"/>
        <w:right w:val="none" w:sz="0" w:space="0" w:color="auto"/>
      </w:divBdr>
      <w:divsChild>
        <w:div w:id="1379008850">
          <w:marLeft w:val="360"/>
          <w:marRight w:val="0"/>
          <w:marTop w:val="0"/>
          <w:marBottom w:val="0"/>
          <w:divBdr>
            <w:top w:val="none" w:sz="0" w:space="0" w:color="auto"/>
            <w:left w:val="none" w:sz="0" w:space="0" w:color="auto"/>
            <w:bottom w:val="none" w:sz="0" w:space="0" w:color="auto"/>
            <w:right w:val="none" w:sz="0" w:space="0" w:color="auto"/>
          </w:divBdr>
        </w:div>
        <w:div w:id="651759116">
          <w:marLeft w:val="360"/>
          <w:marRight w:val="0"/>
          <w:marTop w:val="0"/>
          <w:marBottom w:val="0"/>
          <w:divBdr>
            <w:top w:val="none" w:sz="0" w:space="0" w:color="auto"/>
            <w:left w:val="none" w:sz="0" w:space="0" w:color="auto"/>
            <w:bottom w:val="none" w:sz="0" w:space="0" w:color="auto"/>
            <w:right w:val="none" w:sz="0" w:space="0" w:color="auto"/>
          </w:divBdr>
        </w:div>
        <w:div w:id="507671248">
          <w:marLeft w:val="360"/>
          <w:marRight w:val="0"/>
          <w:marTop w:val="0"/>
          <w:marBottom w:val="0"/>
          <w:divBdr>
            <w:top w:val="none" w:sz="0" w:space="0" w:color="auto"/>
            <w:left w:val="none" w:sz="0" w:space="0" w:color="auto"/>
            <w:bottom w:val="none" w:sz="0" w:space="0" w:color="auto"/>
            <w:right w:val="none" w:sz="0" w:space="0" w:color="auto"/>
          </w:divBdr>
        </w:div>
      </w:divsChild>
    </w:div>
    <w:div w:id="941838179">
      <w:bodyDiv w:val="1"/>
      <w:marLeft w:val="0"/>
      <w:marRight w:val="0"/>
      <w:marTop w:val="0"/>
      <w:marBottom w:val="0"/>
      <w:divBdr>
        <w:top w:val="none" w:sz="0" w:space="0" w:color="auto"/>
        <w:left w:val="none" w:sz="0" w:space="0" w:color="auto"/>
        <w:bottom w:val="none" w:sz="0" w:space="0" w:color="auto"/>
        <w:right w:val="none" w:sz="0" w:space="0" w:color="auto"/>
      </w:divBdr>
    </w:div>
    <w:div w:id="20984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ewmaker.com/mcf-classifier"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1019475/good-for-you-good-for-us-good-for-everybody.pdf" TargetMode="External"/><Relationship Id="rId2" Type="http://schemas.openxmlformats.org/officeDocument/2006/relationships/hyperlink" Target="https://ec.europa.eu/chafea/health/newsroom/news/documents/polypharmacy-handbook-second-edition_en.pdf" TargetMode="External"/><Relationship Id="rId1" Type="http://schemas.openxmlformats.org/officeDocument/2006/relationships/hyperlink" Target="https://www.sps.nhs.uk/articles/understanding-polypharmacy-overprescribing-and-deprescribing/" TargetMode="External"/><Relationship Id="rId5" Type="http://schemas.openxmlformats.org/officeDocument/2006/relationships/hyperlink" Target="https://dx.doi.org/10.2139/ssrn.4633938" TargetMode="External"/><Relationship Id="rId4" Type="http://schemas.openxmlformats.org/officeDocument/2006/relationships/hyperlink" Target="https://ssrn.com/abstract=463393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Repeat Medications</a:t>
            </a:r>
            <a:r>
              <a:rPr lang="en-GB" baseline="0"/>
              <a:t> On Each Patients Record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638793514513051E-2"/>
          <c:y val="0.12382886590261033"/>
          <c:w val="0.87295736247237599"/>
          <c:h val="0.71033648970146679"/>
        </c:manualLayout>
      </c:layout>
      <c:barChart>
        <c:barDir val="col"/>
        <c:grouping val="clustered"/>
        <c:varyColors val="0"/>
        <c:ser>
          <c:idx val="0"/>
          <c:order val="0"/>
          <c:tx>
            <c:strRef>
              <c:f>Sheet1!$E$7</c:f>
              <c:strCache>
                <c:ptCount val="1"/>
                <c:pt idx="0">
                  <c:v>7</c:v>
                </c:pt>
              </c:strCache>
            </c:strRef>
          </c:tx>
          <c:spPr>
            <a:solidFill>
              <a:schemeClr val="accent1"/>
            </a:solidFill>
            <a:ln>
              <a:noFill/>
            </a:ln>
            <a:effectLst/>
          </c:spPr>
          <c:invertIfNegative val="0"/>
          <c:cat>
            <c:strRef>
              <c:f>Sheet1!$F$6</c:f>
              <c:strCache>
                <c:ptCount val="1"/>
                <c:pt idx="0">
                  <c:v>No of repeat medications</c:v>
                </c:pt>
              </c:strCache>
            </c:strRef>
          </c:cat>
          <c:val>
            <c:numRef>
              <c:f>Sheet1!$F$7</c:f>
              <c:numCache>
                <c:formatCode>General</c:formatCode>
                <c:ptCount val="1"/>
                <c:pt idx="0">
                  <c:v>1</c:v>
                </c:pt>
              </c:numCache>
            </c:numRef>
          </c:val>
          <c:extLst>
            <c:ext xmlns:c16="http://schemas.microsoft.com/office/drawing/2014/chart" uri="{C3380CC4-5D6E-409C-BE32-E72D297353CC}">
              <c16:uniqueId val="{00000000-2EBD-4EDE-BFEF-7776B4E576C3}"/>
            </c:ext>
          </c:extLst>
        </c:ser>
        <c:ser>
          <c:idx val="1"/>
          <c:order val="1"/>
          <c:tx>
            <c:strRef>
              <c:f>Sheet1!$E$8</c:f>
              <c:strCache>
                <c:ptCount val="1"/>
                <c:pt idx="0">
                  <c:v>10</c:v>
                </c:pt>
              </c:strCache>
            </c:strRef>
          </c:tx>
          <c:spPr>
            <a:solidFill>
              <a:schemeClr val="accent2"/>
            </a:solidFill>
            <a:ln>
              <a:noFill/>
            </a:ln>
            <a:effectLst/>
          </c:spPr>
          <c:invertIfNegative val="0"/>
          <c:cat>
            <c:strRef>
              <c:f>Sheet1!$F$6</c:f>
              <c:strCache>
                <c:ptCount val="1"/>
                <c:pt idx="0">
                  <c:v>No of repeat medications</c:v>
                </c:pt>
              </c:strCache>
            </c:strRef>
          </c:cat>
          <c:val>
            <c:numRef>
              <c:f>Sheet1!$F$8</c:f>
              <c:numCache>
                <c:formatCode>General</c:formatCode>
                <c:ptCount val="1"/>
                <c:pt idx="0">
                  <c:v>12</c:v>
                </c:pt>
              </c:numCache>
            </c:numRef>
          </c:val>
          <c:extLst>
            <c:ext xmlns:c16="http://schemas.microsoft.com/office/drawing/2014/chart" uri="{C3380CC4-5D6E-409C-BE32-E72D297353CC}">
              <c16:uniqueId val="{00000001-2EBD-4EDE-BFEF-7776B4E576C3}"/>
            </c:ext>
          </c:extLst>
        </c:ser>
        <c:ser>
          <c:idx val="2"/>
          <c:order val="2"/>
          <c:tx>
            <c:strRef>
              <c:f>Sheet1!$E$9</c:f>
              <c:strCache>
                <c:ptCount val="1"/>
                <c:pt idx="0">
                  <c:v>11</c:v>
                </c:pt>
              </c:strCache>
            </c:strRef>
          </c:tx>
          <c:spPr>
            <a:solidFill>
              <a:schemeClr val="accent3"/>
            </a:solidFill>
            <a:ln>
              <a:noFill/>
            </a:ln>
            <a:effectLst/>
          </c:spPr>
          <c:invertIfNegative val="0"/>
          <c:cat>
            <c:strRef>
              <c:f>Sheet1!$F$6</c:f>
              <c:strCache>
                <c:ptCount val="1"/>
                <c:pt idx="0">
                  <c:v>No of repeat medications</c:v>
                </c:pt>
              </c:strCache>
            </c:strRef>
          </c:cat>
          <c:val>
            <c:numRef>
              <c:f>Sheet1!$F$9</c:f>
              <c:numCache>
                <c:formatCode>General</c:formatCode>
                <c:ptCount val="1"/>
                <c:pt idx="0">
                  <c:v>12</c:v>
                </c:pt>
              </c:numCache>
            </c:numRef>
          </c:val>
          <c:extLst>
            <c:ext xmlns:c16="http://schemas.microsoft.com/office/drawing/2014/chart" uri="{C3380CC4-5D6E-409C-BE32-E72D297353CC}">
              <c16:uniqueId val="{00000002-2EBD-4EDE-BFEF-7776B4E576C3}"/>
            </c:ext>
          </c:extLst>
        </c:ser>
        <c:ser>
          <c:idx val="3"/>
          <c:order val="3"/>
          <c:tx>
            <c:strRef>
              <c:f>Sheet1!$E$10</c:f>
              <c:strCache>
                <c:ptCount val="1"/>
                <c:pt idx="0">
                  <c:v>12</c:v>
                </c:pt>
              </c:strCache>
            </c:strRef>
          </c:tx>
          <c:spPr>
            <a:solidFill>
              <a:schemeClr val="accent4"/>
            </a:solidFill>
            <a:ln>
              <a:noFill/>
            </a:ln>
            <a:effectLst/>
          </c:spPr>
          <c:invertIfNegative val="0"/>
          <c:cat>
            <c:strRef>
              <c:f>Sheet1!$F$6</c:f>
              <c:strCache>
                <c:ptCount val="1"/>
                <c:pt idx="0">
                  <c:v>No of repeat medications</c:v>
                </c:pt>
              </c:strCache>
            </c:strRef>
          </c:cat>
          <c:val>
            <c:numRef>
              <c:f>Sheet1!$F$10</c:f>
              <c:numCache>
                <c:formatCode>General</c:formatCode>
                <c:ptCount val="1"/>
                <c:pt idx="0">
                  <c:v>8</c:v>
                </c:pt>
              </c:numCache>
            </c:numRef>
          </c:val>
          <c:extLst>
            <c:ext xmlns:c16="http://schemas.microsoft.com/office/drawing/2014/chart" uri="{C3380CC4-5D6E-409C-BE32-E72D297353CC}">
              <c16:uniqueId val="{00000003-2EBD-4EDE-BFEF-7776B4E576C3}"/>
            </c:ext>
          </c:extLst>
        </c:ser>
        <c:ser>
          <c:idx val="4"/>
          <c:order val="4"/>
          <c:tx>
            <c:strRef>
              <c:f>Sheet1!$E$11</c:f>
              <c:strCache>
                <c:ptCount val="1"/>
                <c:pt idx="0">
                  <c:v>13</c:v>
                </c:pt>
              </c:strCache>
            </c:strRef>
          </c:tx>
          <c:spPr>
            <a:solidFill>
              <a:schemeClr val="accent5"/>
            </a:solidFill>
            <a:ln>
              <a:noFill/>
            </a:ln>
            <a:effectLst/>
          </c:spPr>
          <c:invertIfNegative val="0"/>
          <c:cat>
            <c:strRef>
              <c:f>Sheet1!$F$6</c:f>
              <c:strCache>
                <c:ptCount val="1"/>
                <c:pt idx="0">
                  <c:v>No of repeat medications</c:v>
                </c:pt>
              </c:strCache>
            </c:strRef>
          </c:cat>
          <c:val>
            <c:numRef>
              <c:f>Sheet1!$F$11</c:f>
              <c:numCache>
                <c:formatCode>General</c:formatCode>
                <c:ptCount val="1"/>
                <c:pt idx="0">
                  <c:v>8</c:v>
                </c:pt>
              </c:numCache>
            </c:numRef>
          </c:val>
          <c:extLst>
            <c:ext xmlns:c16="http://schemas.microsoft.com/office/drawing/2014/chart" uri="{C3380CC4-5D6E-409C-BE32-E72D297353CC}">
              <c16:uniqueId val="{00000004-2EBD-4EDE-BFEF-7776B4E576C3}"/>
            </c:ext>
          </c:extLst>
        </c:ser>
        <c:ser>
          <c:idx val="5"/>
          <c:order val="5"/>
          <c:tx>
            <c:strRef>
              <c:f>Sheet1!$E$12</c:f>
              <c:strCache>
                <c:ptCount val="1"/>
                <c:pt idx="0">
                  <c:v>14</c:v>
                </c:pt>
              </c:strCache>
            </c:strRef>
          </c:tx>
          <c:spPr>
            <a:solidFill>
              <a:schemeClr val="accent6"/>
            </a:solidFill>
            <a:ln>
              <a:noFill/>
            </a:ln>
            <a:effectLst/>
          </c:spPr>
          <c:invertIfNegative val="0"/>
          <c:cat>
            <c:strRef>
              <c:f>Sheet1!$F$6</c:f>
              <c:strCache>
                <c:ptCount val="1"/>
                <c:pt idx="0">
                  <c:v>No of repeat medications</c:v>
                </c:pt>
              </c:strCache>
            </c:strRef>
          </c:cat>
          <c:val>
            <c:numRef>
              <c:f>Sheet1!$F$12</c:f>
              <c:numCache>
                <c:formatCode>General</c:formatCode>
                <c:ptCount val="1"/>
                <c:pt idx="0">
                  <c:v>5</c:v>
                </c:pt>
              </c:numCache>
            </c:numRef>
          </c:val>
          <c:extLst>
            <c:ext xmlns:c16="http://schemas.microsoft.com/office/drawing/2014/chart" uri="{C3380CC4-5D6E-409C-BE32-E72D297353CC}">
              <c16:uniqueId val="{00000005-2EBD-4EDE-BFEF-7776B4E576C3}"/>
            </c:ext>
          </c:extLst>
        </c:ser>
        <c:ser>
          <c:idx val="6"/>
          <c:order val="6"/>
          <c:tx>
            <c:strRef>
              <c:f>Sheet1!$E$13</c:f>
              <c:strCache>
                <c:ptCount val="1"/>
                <c:pt idx="0">
                  <c:v>15</c:v>
                </c:pt>
              </c:strCache>
            </c:strRef>
          </c:tx>
          <c:spPr>
            <a:solidFill>
              <a:schemeClr val="accent1">
                <a:lumMod val="60000"/>
              </a:schemeClr>
            </a:solidFill>
            <a:ln>
              <a:noFill/>
            </a:ln>
            <a:effectLst/>
          </c:spPr>
          <c:invertIfNegative val="0"/>
          <c:cat>
            <c:strRef>
              <c:f>Sheet1!$F$6</c:f>
              <c:strCache>
                <c:ptCount val="1"/>
                <c:pt idx="0">
                  <c:v>No of repeat medications</c:v>
                </c:pt>
              </c:strCache>
            </c:strRef>
          </c:cat>
          <c:val>
            <c:numRef>
              <c:f>Sheet1!$F$13</c:f>
              <c:numCache>
                <c:formatCode>General</c:formatCode>
                <c:ptCount val="1"/>
                <c:pt idx="0">
                  <c:v>7</c:v>
                </c:pt>
              </c:numCache>
            </c:numRef>
          </c:val>
          <c:extLst>
            <c:ext xmlns:c16="http://schemas.microsoft.com/office/drawing/2014/chart" uri="{C3380CC4-5D6E-409C-BE32-E72D297353CC}">
              <c16:uniqueId val="{00000006-2EBD-4EDE-BFEF-7776B4E576C3}"/>
            </c:ext>
          </c:extLst>
        </c:ser>
        <c:ser>
          <c:idx val="7"/>
          <c:order val="7"/>
          <c:tx>
            <c:strRef>
              <c:f>Sheet1!$E$14</c:f>
              <c:strCache>
                <c:ptCount val="1"/>
                <c:pt idx="0">
                  <c:v>16</c:v>
                </c:pt>
              </c:strCache>
            </c:strRef>
          </c:tx>
          <c:spPr>
            <a:solidFill>
              <a:schemeClr val="accent2">
                <a:lumMod val="60000"/>
              </a:schemeClr>
            </a:solidFill>
            <a:ln>
              <a:noFill/>
            </a:ln>
            <a:effectLst/>
          </c:spPr>
          <c:invertIfNegative val="0"/>
          <c:cat>
            <c:strRef>
              <c:f>Sheet1!$F$6</c:f>
              <c:strCache>
                <c:ptCount val="1"/>
                <c:pt idx="0">
                  <c:v>No of repeat medications</c:v>
                </c:pt>
              </c:strCache>
            </c:strRef>
          </c:cat>
          <c:val>
            <c:numRef>
              <c:f>Sheet1!$F$14</c:f>
              <c:numCache>
                <c:formatCode>General</c:formatCode>
                <c:ptCount val="1"/>
                <c:pt idx="0">
                  <c:v>7</c:v>
                </c:pt>
              </c:numCache>
            </c:numRef>
          </c:val>
          <c:extLst>
            <c:ext xmlns:c16="http://schemas.microsoft.com/office/drawing/2014/chart" uri="{C3380CC4-5D6E-409C-BE32-E72D297353CC}">
              <c16:uniqueId val="{00000007-2EBD-4EDE-BFEF-7776B4E576C3}"/>
            </c:ext>
          </c:extLst>
        </c:ser>
        <c:ser>
          <c:idx val="8"/>
          <c:order val="8"/>
          <c:tx>
            <c:strRef>
              <c:f>Sheet1!$E$15</c:f>
              <c:strCache>
                <c:ptCount val="1"/>
                <c:pt idx="0">
                  <c:v>17</c:v>
                </c:pt>
              </c:strCache>
            </c:strRef>
          </c:tx>
          <c:spPr>
            <a:solidFill>
              <a:schemeClr val="accent3">
                <a:lumMod val="60000"/>
              </a:schemeClr>
            </a:solidFill>
            <a:ln>
              <a:noFill/>
            </a:ln>
            <a:effectLst/>
          </c:spPr>
          <c:invertIfNegative val="0"/>
          <c:cat>
            <c:strRef>
              <c:f>Sheet1!$F$6</c:f>
              <c:strCache>
                <c:ptCount val="1"/>
                <c:pt idx="0">
                  <c:v>No of repeat medications</c:v>
                </c:pt>
              </c:strCache>
            </c:strRef>
          </c:cat>
          <c:val>
            <c:numRef>
              <c:f>Sheet1!$F$15</c:f>
              <c:numCache>
                <c:formatCode>General</c:formatCode>
                <c:ptCount val="1"/>
                <c:pt idx="0">
                  <c:v>2</c:v>
                </c:pt>
              </c:numCache>
            </c:numRef>
          </c:val>
          <c:extLst>
            <c:ext xmlns:c16="http://schemas.microsoft.com/office/drawing/2014/chart" uri="{C3380CC4-5D6E-409C-BE32-E72D297353CC}">
              <c16:uniqueId val="{00000008-2EBD-4EDE-BFEF-7776B4E576C3}"/>
            </c:ext>
          </c:extLst>
        </c:ser>
        <c:ser>
          <c:idx val="9"/>
          <c:order val="9"/>
          <c:tx>
            <c:strRef>
              <c:f>Sheet1!$E$16</c:f>
              <c:strCache>
                <c:ptCount val="1"/>
                <c:pt idx="0">
                  <c:v>18</c:v>
                </c:pt>
              </c:strCache>
            </c:strRef>
          </c:tx>
          <c:spPr>
            <a:solidFill>
              <a:schemeClr val="accent4">
                <a:lumMod val="60000"/>
              </a:schemeClr>
            </a:solidFill>
            <a:ln>
              <a:noFill/>
            </a:ln>
            <a:effectLst/>
          </c:spPr>
          <c:invertIfNegative val="0"/>
          <c:cat>
            <c:strRef>
              <c:f>Sheet1!$F$6</c:f>
              <c:strCache>
                <c:ptCount val="1"/>
                <c:pt idx="0">
                  <c:v>No of repeat medications</c:v>
                </c:pt>
              </c:strCache>
            </c:strRef>
          </c:cat>
          <c:val>
            <c:numRef>
              <c:f>Sheet1!$F$16</c:f>
              <c:numCache>
                <c:formatCode>General</c:formatCode>
                <c:ptCount val="1"/>
                <c:pt idx="0">
                  <c:v>3</c:v>
                </c:pt>
              </c:numCache>
            </c:numRef>
          </c:val>
          <c:extLst>
            <c:ext xmlns:c16="http://schemas.microsoft.com/office/drawing/2014/chart" uri="{C3380CC4-5D6E-409C-BE32-E72D297353CC}">
              <c16:uniqueId val="{00000009-2EBD-4EDE-BFEF-7776B4E576C3}"/>
            </c:ext>
          </c:extLst>
        </c:ser>
        <c:ser>
          <c:idx val="10"/>
          <c:order val="10"/>
          <c:tx>
            <c:strRef>
              <c:f>Sheet1!$E$17</c:f>
              <c:strCache>
                <c:ptCount val="1"/>
                <c:pt idx="0">
                  <c:v>19</c:v>
                </c:pt>
              </c:strCache>
            </c:strRef>
          </c:tx>
          <c:spPr>
            <a:solidFill>
              <a:schemeClr val="accent5">
                <a:lumMod val="60000"/>
              </a:schemeClr>
            </a:solidFill>
            <a:ln>
              <a:noFill/>
            </a:ln>
            <a:effectLst/>
          </c:spPr>
          <c:invertIfNegative val="0"/>
          <c:cat>
            <c:strRef>
              <c:f>Sheet1!$F$6</c:f>
              <c:strCache>
                <c:ptCount val="1"/>
                <c:pt idx="0">
                  <c:v>No of repeat medications</c:v>
                </c:pt>
              </c:strCache>
            </c:strRef>
          </c:cat>
          <c:val>
            <c:numRef>
              <c:f>Sheet1!$F$17</c:f>
              <c:numCache>
                <c:formatCode>General</c:formatCode>
                <c:ptCount val="1"/>
                <c:pt idx="0">
                  <c:v>2</c:v>
                </c:pt>
              </c:numCache>
            </c:numRef>
          </c:val>
          <c:extLst>
            <c:ext xmlns:c16="http://schemas.microsoft.com/office/drawing/2014/chart" uri="{C3380CC4-5D6E-409C-BE32-E72D297353CC}">
              <c16:uniqueId val="{0000000A-2EBD-4EDE-BFEF-7776B4E576C3}"/>
            </c:ext>
          </c:extLst>
        </c:ser>
        <c:ser>
          <c:idx val="11"/>
          <c:order val="11"/>
          <c:tx>
            <c:strRef>
              <c:f>Sheet1!$E$18</c:f>
              <c:strCache>
                <c:ptCount val="1"/>
                <c:pt idx="0">
                  <c:v>20</c:v>
                </c:pt>
              </c:strCache>
            </c:strRef>
          </c:tx>
          <c:spPr>
            <a:solidFill>
              <a:schemeClr val="accent6">
                <a:lumMod val="60000"/>
              </a:schemeClr>
            </a:solidFill>
            <a:ln>
              <a:noFill/>
            </a:ln>
            <a:effectLst/>
          </c:spPr>
          <c:invertIfNegative val="0"/>
          <c:cat>
            <c:strRef>
              <c:f>Sheet1!$F$6</c:f>
              <c:strCache>
                <c:ptCount val="1"/>
                <c:pt idx="0">
                  <c:v>No of repeat medications</c:v>
                </c:pt>
              </c:strCache>
            </c:strRef>
          </c:cat>
          <c:val>
            <c:numRef>
              <c:f>Sheet1!$F$18</c:f>
              <c:numCache>
                <c:formatCode>General</c:formatCode>
                <c:ptCount val="1"/>
                <c:pt idx="0">
                  <c:v>3</c:v>
                </c:pt>
              </c:numCache>
            </c:numRef>
          </c:val>
          <c:extLst>
            <c:ext xmlns:c16="http://schemas.microsoft.com/office/drawing/2014/chart" uri="{C3380CC4-5D6E-409C-BE32-E72D297353CC}">
              <c16:uniqueId val="{0000000B-2EBD-4EDE-BFEF-7776B4E576C3}"/>
            </c:ext>
          </c:extLst>
        </c:ser>
        <c:ser>
          <c:idx val="12"/>
          <c:order val="12"/>
          <c:tx>
            <c:strRef>
              <c:f>Sheet1!$E$19</c:f>
              <c:strCache>
                <c:ptCount val="1"/>
                <c:pt idx="0">
                  <c:v>21</c:v>
                </c:pt>
              </c:strCache>
            </c:strRef>
          </c:tx>
          <c:spPr>
            <a:solidFill>
              <a:schemeClr val="accent1">
                <a:lumMod val="80000"/>
                <a:lumOff val="20000"/>
              </a:schemeClr>
            </a:solidFill>
            <a:ln>
              <a:noFill/>
            </a:ln>
            <a:effectLst/>
          </c:spPr>
          <c:invertIfNegative val="0"/>
          <c:cat>
            <c:strRef>
              <c:f>Sheet1!$F$6</c:f>
              <c:strCache>
                <c:ptCount val="1"/>
                <c:pt idx="0">
                  <c:v>No of repeat medications</c:v>
                </c:pt>
              </c:strCache>
            </c:strRef>
          </c:cat>
          <c:val>
            <c:numRef>
              <c:f>Sheet1!$F$19</c:f>
              <c:numCache>
                <c:formatCode>General</c:formatCode>
                <c:ptCount val="1"/>
                <c:pt idx="0">
                  <c:v>1</c:v>
                </c:pt>
              </c:numCache>
            </c:numRef>
          </c:val>
          <c:extLst>
            <c:ext xmlns:c16="http://schemas.microsoft.com/office/drawing/2014/chart" uri="{C3380CC4-5D6E-409C-BE32-E72D297353CC}">
              <c16:uniqueId val="{0000000C-2EBD-4EDE-BFEF-7776B4E576C3}"/>
            </c:ext>
          </c:extLst>
        </c:ser>
        <c:ser>
          <c:idx val="13"/>
          <c:order val="13"/>
          <c:tx>
            <c:strRef>
              <c:f>Sheet1!$E$20</c:f>
              <c:strCache>
                <c:ptCount val="1"/>
                <c:pt idx="0">
                  <c:v>22</c:v>
                </c:pt>
              </c:strCache>
            </c:strRef>
          </c:tx>
          <c:spPr>
            <a:solidFill>
              <a:schemeClr val="accent2">
                <a:lumMod val="80000"/>
                <a:lumOff val="20000"/>
              </a:schemeClr>
            </a:solidFill>
            <a:ln>
              <a:noFill/>
            </a:ln>
            <a:effectLst/>
          </c:spPr>
          <c:invertIfNegative val="0"/>
          <c:cat>
            <c:strRef>
              <c:f>Sheet1!$F$6</c:f>
              <c:strCache>
                <c:ptCount val="1"/>
                <c:pt idx="0">
                  <c:v>No of repeat medications</c:v>
                </c:pt>
              </c:strCache>
            </c:strRef>
          </c:cat>
          <c:val>
            <c:numRef>
              <c:f>Sheet1!$F$20</c:f>
              <c:numCache>
                <c:formatCode>General</c:formatCode>
                <c:ptCount val="1"/>
                <c:pt idx="0">
                  <c:v>3</c:v>
                </c:pt>
              </c:numCache>
            </c:numRef>
          </c:val>
          <c:extLst>
            <c:ext xmlns:c16="http://schemas.microsoft.com/office/drawing/2014/chart" uri="{C3380CC4-5D6E-409C-BE32-E72D297353CC}">
              <c16:uniqueId val="{0000000D-2EBD-4EDE-BFEF-7776B4E576C3}"/>
            </c:ext>
          </c:extLst>
        </c:ser>
        <c:ser>
          <c:idx val="14"/>
          <c:order val="14"/>
          <c:tx>
            <c:strRef>
              <c:f>Sheet1!$E$21</c:f>
              <c:strCache>
                <c:ptCount val="1"/>
                <c:pt idx="0">
                  <c:v>23</c:v>
                </c:pt>
              </c:strCache>
            </c:strRef>
          </c:tx>
          <c:spPr>
            <a:solidFill>
              <a:schemeClr val="accent3">
                <a:lumMod val="80000"/>
                <a:lumOff val="20000"/>
              </a:schemeClr>
            </a:solidFill>
            <a:ln>
              <a:noFill/>
            </a:ln>
            <a:effectLst/>
          </c:spPr>
          <c:invertIfNegative val="0"/>
          <c:cat>
            <c:strRef>
              <c:f>Sheet1!$F$6</c:f>
              <c:strCache>
                <c:ptCount val="1"/>
                <c:pt idx="0">
                  <c:v>No of repeat medications</c:v>
                </c:pt>
              </c:strCache>
            </c:strRef>
          </c:cat>
          <c:val>
            <c:numRef>
              <c:f>Sheet1!$F$21</c:f>
              <c:numCache>
                <c:formatCode>General</c:formatCode>
                <c:ptCount val="1"/>
                <c:pt idx="0">
                  <c:v>1</c:v>
                </c:pt>
              </c:numCache>
            </c:numRef>
          </c:val>
          <c:extLst>
            <c:ext xmlns:c16="http://schemas.microsoft.com/office/drawing/2014/chart" uri="{C3380CC4-5D6E-409C-BE32-E72D297353CC}">
              <c16:uniqueId val="{0000000E-2EBD-4EDE-BFEF-7776B4E576C3}"/>
            </c:ext>
          </c:extLst>
        </c:ser>
        <c:ser>
          <c:idx val="15"/>
          <c:order val="15"/>
          <c:tx>
            <c:strRef>
              <c:f>Sheet1!$E$22</c:f>
              <c:strCache>
                <c:ptCount val="1"/>
                <c:pt idx="0">
                  <c:v>24</c:v>
                </c:pt>
              </c:strCache>
            </c:strRef>
          </c:tx>
          <c:spPr>
            <a:solidFill>
              <a:schemeClr val="accent4">
                <a:lumMod val="80000"/>
                <a:lumOff val="20000"/>
              </a:schemeClr>
            </a:solidFill>
            <a:ln>
              <a:noFill/>
            </a:ln>
            <a:effectLst/>
          </c:spPr>
          <c:invertIfNegative val="0"/>
          <c:cat>
            <c:strRef>
              <c:f>Sheet1!$F$6</c:f>
              <c:strCache>
                <c:ptCount val="1"/>
                <c:pt idx="0">
                  <c:v>No of repeat medications</c:v>
                </c:pt>
              </c:strCache>
            </c:strRef>
          </c:cat>
          <c:val>
            <c:numRef>
              <c:f>Sheet1!$F$22</c:f>
              <c:numCache>
                <c:formatCode>General</c:formatCode>
                <c:ptCount val="1"/>
                <c:pt idx="0">
                  <c:v>1</c:v>
                </c:pt>
              </c:numCache>
            </c:numRef>
          </c:val>
          <c:extLst>
            <c:ext xmlns:c16="http://schemas.microsoft.com/office/drawing/2014/chart" uri="{C3380CC4-5D6E-409C-BE32-E72D297353CC}">
              <c16:uniqueId val="{0000000F-2EBD-4EDE-BFEF-7776B4E576C3}"/>
            </c:ext>
          </c:extLst>
        </c:ser>
        <c:ser>
          <c:idx val="16"/>
          <c:order val="16"/>
          <c:tx>
            <c:strRef>
              <c:f>Sheet1!$E$23</c:f>
              <c:strCache>
                <c:ptCount val="1"/>
                <c:pt idx="0">
                  <c:v>25</c:v>
                </c:pt>
              </c:strCache>
            </c:strRef>
          </c:tx>
          <c:spPr>
            <a:solidFill>
              <a:schemeClr val="accent5">
                <a:lumMod val="80000"/>
                <a:lumOff val="20000"/>
              </a:schemeClr>
            </a:solidFill>
            <a:ln>
              <a:noFill/>
            </a:ln>
            <a:effectLst/>
          </c:spPr>
          <c:invertIfNegative val="0"/>
          <c:cat>
            <c:strRef>
              <c:f>Sheet1!$F$6</c:f>
              <c:strCache>
                <c:ptCount val="1"/>
                <c:pt idx="0">
                  <c:v>No of repeat medications</c:v>
                </c:pt>
              </c:strCache>
            </c:strRef>
          </c:cat>
          <c:val>
            <c:numRef>
              <c:f>Sheet1!$F$23</c:f>
              <c:numCache>
                <c:formatCode>General</c:formatCode>
                <c:ptCount val="1"/>
                <c:pt idx="0">
                  <c:v>5</c:v>
                </c:pt>
              </c:numCache>
            </c:numRef>
          </c:val>
          <c:extLst>
            <c:ext xmlns:c16="http://schemas.microsoft.com/office/drawing/2014/chart" uri="{C3380CC4-5D6E-409C-BE32-E72D297353CC}">
              <c16:uniqueId val="{00000010-2EBD-4EDE-BFEF-7776B4E576C3}"/>
            </c:ext>
          </c:extLst>
        </c:ser>
        <c:dLbls>
          <c:showLegendKey val="0"/>
          <c:showVal val="0"/>
          <c:showCatName val="0"/>
          <c:showSerName val="0"/>
          <c:showPercent val="0"/>
          <c:showBubbleSize val="0"/>
        </c:dLbls>
        <c:gapWidth val="219"/>
        <c:overlap val="-27"/>
        <c:axId val="146422975"/>
        <c:axId val="146420095"/>
      </c:barChart>
      <c:catAx>
        <c:axId val="146422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20095"/>
        <c:crosses val="autoZero"/>
        <c:auto val="1"/>
        <c:lblAlgn val="ctr"/>
        <c:lblOffset val="100"/>
        <c:noMultiLvlLbl val="0"/>
      </c:catAx>
      <c:valAx>
        <c:axId val="146420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patients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22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r>
              <a:rPr lang="en-US" sz="1200"/>
              <a:t>Side Effects Experienced By Patient?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Sheet1!$B$26</c:f>
              <c:strCache>
                <c:ptCount val="1"/>
                <c:pt idx="0">
                  <c:v>side effects experienced by patient?</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296-4636-917C-7928BEC90E0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296-4636-917C-7928BEC90E0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296-4636-917C-7928BEC90E0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Sheet1!$A$27:$A$29</c:f>
              <c:strCache>
                <c:ptCount val="3"/>
                <c:pt idx="0">
                  <c:v>Yes</c:v>
                </c:pt>
                <c:pt idx="1">
                  <c:v>No</c:v>
                </c:pt>
                <c:pt idx="2">
                  <c:v>Blank</c:v>
                </c:pt>
              </c:strCache>
            </c:strRef>
          </c:cat>
          <c:val>
            <c:numRef>
              <c:f>Sheet1!$B$27:$B$29</c:f>
              <c:numCache>
                <c:formatCode>General</c:formatCode>
                <c:ptCount val="3"/>
                <c:pt idx="0">
                  <c:v>16</c:v>
                </c:pt>
                <c:pt idx="1">
                  <c:v>64</c:v>
                </c:pt>
                <c:pt idx="2">
                  <c:v>1</c:v>
                </c:pt>
              </c:numCache>
            </c:numRef>
          </c:val>
          <c:extLst>
            <c:ext xmlns:c16="http://schemas.microsoft.com/office/drawing/2014/chart" uri="{C3380CC4-5D6E-409C-BE32-E72D297353CC}">
              <c16:uniqueId val="{00000006-2296-4636-917C-7928BEC90E0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A02AF-E3BF-4613-AC07-D3387244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Kitchen</dc:creator>
  <cp:keywords/>
  <dc:description/>
  <cp:lastModifiedBy>Nuala Hampson</cp:lastModifiedBy>
  <cp:revision>2</cp:revision>
  <dcterms:created xsi:type="dcterms:W3CDTF">2024-11-27T09:01:00Z</dcterms:created>
  <dcterms:modified xsi:type="dcterms:W3CDTF">2024-11-27T09:01:00Z</dcterms:modified>
</cp:coreProperties>
</file>