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7FEAA9" w14:textId="77777777" w:rsidR="005F6ECC" w:rsidRDefault="005F6ECC" w:rsidP="00520CA6">
      <w:pPr>
        <w:pStyle w:val="Heading2"/>
      </w:pPr>
      <w:bookmarkStart w:id="0" w:name="_Toc227022447"/>
    </w:p>
    <w:p w14:paraId="1E5A390D" w14:textId="77777777" w:rsidR="005F6ECC" w:rsidRDefault="005F6ECC" w:rsidP="00520CA6">
      <w:pPr>
        <w:pStyle w:val="Heading2"/>
      </w:pPr>
      <w:r>
        <w:t>Service Improvement: Supporting the inclusion of environmental sustainability into improvement work at EKUHFT through education of the Improvement Team.</w:t>
      </w:r>
    </w:p>
    <w:p w14:paraId="064B7188" w14:textId="77777777" w:rsidR="005F6ECC" w:rsidRDefault="005F6ECC" w:rsidP="00520CA6">
      <w:pPr>
        <w:pStyle w:val="Heading2"/>
      </w:pPr>
    </w:p>
    <w:p w14:paraId="174F1EAA" w14:textId="77777777" w:rsidR="002A71A2" w:rsidRDefault="002A71A2" w:rsidP="00520CA6">
      <w:pPr>
        <w:pStyle w:val="Heading2"/>
      </w:pPr>
      <w:r w:rsidRPr="002A71A2">
        <w:t>Contents</w:t>
      </w:r>
      <w:r>
        <w:t>:</w:t>
      </w:r>
      <w:bookmarkEnd w:id="0"/>
      <w:r>
        <w:t xml:space="preserve"> </w:t>
      </w:r>
    </w:p>
    <w:sdt>
      <w:sdtPr>
        <w:id w:val="1305511698"/>
        <w:docPartObj>
          <w:docPartGallery w:val="Table of Contents"/>
          <w:docPartUnique/>
        </w:docPartObj>
      </w:sdtPr>
      <w:sdtEndPr>
        <w:rPr>
          <w:noProof/>
        </w:rPr>
      </w:sdtEndPr>
      <w:sdtContent>
        <w:p w14:paraId="51581255" w14:textId="77777777" w:rsidR="00B36F7F" w:rsidRDefault="002A71A2">
          <w:pPr>
            <w:pStyle w:val="TOC2"/>
            <w:tabs>
              <w:tab w:val="right" w:leader="dot" w:pos="9016"/>
            </w:tabs>
            <w:rPr>
              <w:rFonts w:eastAsiaTheme="minorEastAsia"/>
              <w:noProof/>
              <w:lang w:eastAsia="en-GB"/>
            </w:rPr>
          </w:pPr>
          <w:r>
            <w:fldChar w:fldCharType="begin"/>
          </w:r>
          <w:r>
            <w:instrText xml:space="preserve"> TOC \o "1-3" \h \z \u </w:instrText>
          </w:r>
          <w:r>
            <w:fldChar w:fldCharType="separate"/>
          </w:r>
          <w:hyperlink w:anchor="_Toc227022447" w:history="1">
            <w:r w:rsidR="00B36F7F" w:rsidRPr="009F1027">
              <w:rPr>
                <w:rStyle w:val="Hyperlink"/>
                <w:noProof/>
              </w:rPr>
              <w:t>Contents:</w:t>
            </w:r>
            <w:r w:rsidR="00B36F7F">
              <w:rPr>
                <w:noProof/>
                <w:webHidden/>
              </w:rPr>
              <w:tab/>
            </w:r>
            <w:r w:rsidR="00B36F7F">
              <w:rPr>
                <w:noProof/>
                <w:webHidden/>
              </w:rPr>
              <w:fldChar w:fldCharType="begin"/>
            </w:r>
            <w:r w:rsidR="00B36F7F">
              <w:rPr>
                <w:noProof/>
                <w:webHidden/>
              </w:rPr>
              <w:instrText xml:space="preserve"> PAGEREF _Toc227022447 \h </w:instrText>
            </w:r>
            <w:r w:rsidR="00B36F7F">
              <w:rPr>
                <w:noProof/>
                <w:webHidden/>
              </w:rPr>
            </w:r>
            <w:r w:rsidR="00B36F7F">
              <w:rPr>
                <w:noProof/>
                <w:webHidden/>
              </w:rPr>
              <w:fldChar w:fldCharType="separate"/>
            </w:r>
            <w:r w:rsidR="00B36F7F">
              <w:rPr>
                <w:noProof/>
                <w:webHidden/>
              </w:rPr>
              <w:t>1</w:t>
            </w:r>
            <w:r w:rsidR="00B36F7F">
              <w:rPr>
                <w:noProof/>
                <w:webHidden/>
              </w:rPr>
              <w:fldChar w:fldCharType="end"/>
            </w:r>
          </w:hyperlink>
        </w:p>
        <w:p w14:paraId="3AC43805" w14:textId="77777777" w:rsidR="00B36F7F" w:rsidRDefault="00B36F7F">
          <w:pPr>
            <w:pStyle w:val="TOC3"/>
            <w:tabs>
              <w:tab w:val="right" w:leader="dot" w:pos="9016"/>
            </w:tabs>
            <w:rPr>
              <w:rFonts w:eastAsiaTheme="minorEastAsia"/>
              <w:noProof/>
              <w:lang w:eastAsia="en-GB"/>
            </w:rPr>
          </w:pPr>
          <w:hyperlink w:anchor="_Toc227022448" w:history="1">
            <w:r w:rsidRPr="009F1027">
              <w:rPr>
                <w:rStyle w:val="Hyperlink"/>
                <w:noProof/>
              </w:rPr>
              <w:t>Background</w:t>
            </w:r>
            <w:r>
              <w:rPr>
                <w:noProof/>
                <w:webHidden/>
              </w:rPr>
              <w:tab/>
            </w:r>
            <w:r>
              <w:rPr>
                <w:noProof/>
                <w:webHidden/>
              </w:rPr>
              <w:fldChar w:fldCharType="begin"/>
            </w:r>
            <w:r>
              <w:rPr>
                <w:noProof/>
                <w:webHidden/>
              </w:rPr>
              <w:instrText xml:space="preserve"> PAGEREF _Toc227022448 \h </w:instrText>
            </w:r>
            <w:r>
              <w:rPr>
                <w:noProof/>
                <w:webHidden/>
              </w:rPr>
            </w:r>
            <w:r>
              <w:rPr>
                <w:noProof/>
                <w:webHidden/>
              </w:rPr>
              <w:fldChar w:fldCharType="separate"/>
            </w:r>
            <w:r>
              <w:rPr>
                <w:noProof/>
                <w:webHidden/>
              </w:rPr>
              <w:t>2</w:t>
            </w:r>
            <w:r>
              <w:rPr>
                <w:noProof/>
                <w:webHidden/>
              </w:rPr>
              <w:fldChar w:fldCharType="end"/>
            </w:r>
          </w:hyperlink>
        </w:p>
        <w:p w14:paraId="14A5FC4C" w14:textId="77777777" w:rsidR="00B36F7F" w:rsidRDefault="00B36F7F">
          <w:pPr>
            <w:pStyle w:val="TOC3"/>
            <w:tabs>
              <w:tab w:val="right" w:leader="dot" w:pos="9016"/>
            </w:tabs>
            <w:rPr>
              <w:rFonts w:eastAsiaTheme="minorEastAsia"/>
              <w:noProof/>
              <w:lang w:eastAsia="en-GB"/>
            </w:rPr>
          </w:pPr>
          <w:hyperlink w:anchor="_Toc227022449" w:history="1">
            <w:r w:rsidRPr="009F1027">
              <w:rPr>
                <w:rStyle w:val="Hyperlink"/>
                <w:noProof/>
              </w:rPr>
              <w:t>Understanding the Problem</w:t>
            </w:r>
            <w:r>
              <w:rPr>
                <w:noProof/>
                <w:webHidden/>
              </w:rPr>
              <w:tab/>
            </w:r>
            <w:r>
              <w:rPr>
                <w:noProof/>
                <w:webHidden/>
              </w:rPr>
              <w:fldChar w:fldCharType="begin"/>
            </w:r>
            <w:r>
              <w:rPr>
                <w:noProof/>
                <w:webHidden/>
              </w:rPr>
              <w:instrText xml:space="preserve"> PAGEREF _Toc227022449 \h </w:instrText>
            </w:r>
            <w:r>
              <w:rPr>
                <w:noProof/>
                <w:webHidden/>
              </w:rPr>
            </w:r>
            <w:r>
              <w:rPr>
                <w:noProof/>
                <w:webHidden/>
              </w:rPr>
              <w:fldChar w:fldCharType="separate"/>
            </w:r>
            <w:r>
              <w:rPr>
                <w:noProof/>
                <w:webHidden/>
              </w:rPr>
              <w:t>3</w:t>
            </w:r>
            <w:r>
              <w:rPr>
                <w:noProof/>
                <w:webHidden/>
              </w:rPr>
              <w:fldChar w:fldCharType="end"/>
            </w:r>
          </w:hyperlink>
        </w:p>
        <w:p w14:paraId="3ECCB957" w14:textId="77777777" w:rsidR="00B36F7F" w:rsidRDefault="00B36F7F">
          <w:pPr>
            <w:pStyle w:val="TOC3"/>
            <w:tabs>
              <w:tab w:val="right" w:leader="dot" w:pos="9016"/>
            </w:tabs>
            <w:rPr>
              <w:rFonts w:eastAsiaTheme="minorEastAsia"/>
              <w:noProof/>
              <w:lang w:eastAsia="en-GB"/>
            </w:rPr>
          </w:pPr>
          <w:hyperlink w:anchor="_Toc227022450" w:history="1">
            <w:r w:rsidRPr="009F1027">
              <w:rPr>
                <w:rStyle w:val="Hyperlink"/>
                <w:noProof/>
              </w:rPr>
              <w:t>Problem statement</w:t>
            </w:r>
            <w:r>
              <w:rPr>
                <w:noProof/>
                <w:webHidden/>
              </w:rPr>
              <w:tab/>
            </w:r>
            <w:r>
              <w:rPr>
                <w:noProof/>
                <w:webHidden/>
              </w:rPr>
              <w:fldChar w:fldCharType="begin"/>
            </w:r>
            <w:r>
              <w:rPr>
                <w:noProof/>
                <w:webHidden/>
              </w:rPr>
              <w:instrText xml:space="preserve"> PAGEREF _Toc227022450 \h </w:instrText>
            </w:r>
            <w:r>
              <w:rPr>
                <w:noProof/>
                <w:webHidden/>
              </w:rPr>
            </w:r>
            <w:r>
              <w:rPr>
                <w:noProof/>
                <w:webHidden/>
              </w:rPr>
              <w:fldChar w:fldCharType="separate"/>
            </w:r>
            <w:r>
              <w:rPr>
                <w:noProof/>
                <w:webHidden/>
              </w:rPr>
              <w:t>6</w:t>
            </w:r>
            <w:r>
              <w:rPr>
                <w:noProof/>
                <w:webHidden/>
              </w:rPr>
              <w:fldChar w:fldCharType="end"/>
            </w:r>
          </w:hyperlink>
        </w:p>
        <w:p w14:paraId="4EEF0E41" w14:textId="77777777" w:rsidR="00B36F7F" w:rsidRDefault="00B36F7F">
          <w:pPr>
            <w:pStyle w:val="TOC3"/>
            <w:tabs>
              <w:tab w:val="right" w:leader="dot" w:pos="9016"/>
            </w:tabs>
            <w:rPr>
              <w:rFonts w:eastAsiaTheme="minorEastAsia"/>
              <w:noProof/>
              <w:lang w:eastAsia="en-GB"/>
            </w:rPr>
          </w:pPr>
          <w:hyperlink w:anchor="_Toc227022451" w:history="1">
            <w:r w:rsidRPr="009F1027">
              <w:rPr>
                <w:rStyle w:val="Hyperlink"/>
                <w:noProof/>
              </w:rPr>
              <w:t>Designing the intervention</w:t>
            </w:r>
            <w:r>
              <w:rPr>
                <w:noProof/>
                <w:webHidden/>
              </w:rPr>
              <w:tab/>
            </w:r>
            <w:r>
              <w:rPr>
                <w:noProof/>
                <w:webHidden/>
              </w:rPr>
              <w:fldChar w:fldCharType="begin"/>
            </w:r>
            <w:r>
              <w:rPr>
                <w:noProof/>
                <w:webHidden/>
              </w:rPr>
              <w:instrText xml:space="preserve"> PAGEREF _Toc227022451 \h </w:instrText>
            </w:r>
            <w:r>
              <w:rPr>
                <w:noProof/>
                <w:webHidden/>
              </w:rPr>
            </w:r>
            <w:r>
              <w:rPr>
                <w:noProof/>
                <w:webHidden/>
              </w:rPr>
              <w:fldChar w:fldCharType="separate"/>
            </w:r>
            <w:r>
              <w:rPr>
                <w:noProof/>
                <w:webHidden/>
              </w:rPr>
              <w:t>7</w:t>
            </w:r>
            <w:r>
              <w:rPr>
                <w:noProof/>
                <w:webHidden/>
              </w:rPr>
              <w:fldChar w:fldCharType="end"/>
            </w:r>
          </w:hyperlink>
        </w:p>
        <w:p w14:paraId="4402B0AD" w14:textId="77777777" w:rsidR="00B36F7F" w:rsidRDefault="00B36F7F">
          <w:pPr>
            <w:pStyle w:val="TOC3"/>
            <w:tabs>
              <w:tab w:val="right" w:leader="dot" w:pos="9016"/>
            </w:tabs>
            <w:rPr>
              <w:rFonts w:eastAsiaTheme="minorEastAsia"/>
              <w:noProof/>
              <w:lang w:eastAsia="en-GB"/>
            </w:rPr>
          </w:pPr>
          <w:hyperlink w:anchor="_Toc227022452" w:history="1">
            <w:r w:rsidRPr="009F1027">
              <w:rPr>
                <w:rStyle w:val="Hyperlink"/>
                <w:noProof/>
              </w:rPr>
              <w:t>Results</w:t>
            </w:r>
            <w:r>
              <w:rPr>
                <w:noProof/>
                <w:webHidden/>
              </w:rPr>
              <w:tab/>
            </w:r>
            <w:r>
              <w:rPr>
                <w:noProof/>
                <w:webHidden/>
              </w:rPr>
              <w:fldChar w:fldCharType="begin"/>
            </w:r>
            <w:r>
              <w:rPr>
                <w:noProof/>
                <w:webHidden/>
              </w:rPr>
              <w:instrText xml:space="preserve"> PAGEREF _Toc227022452 \h </w:instrText>
            </w:r>
            <w:r>
              <w:rPr>
                <w:noProof/>
                <w:webHidden/>
              </w:rPr>
            </w:r>
            <w:r>
              <w:rPr>
                <w:noProof/>
                <w:webHidden/>
              </w:rPr>
              <w:fldChar w:fldCharType="separate"/>
            </w:r>
            <w:r>
              <w:rPr>
                <w:noProof/>
                <w:webHidden/>
              </w:rPr>
              <w:t>9</w:t>
            </w:r>
            <w:r>
              <w:rPr>
                <w:noProof/>
                <w:webHidden/>
              </w:rPr>
              <w:fldChar w:fldCharType="end"/>
            </w:r>
          </w:hyperlink>
        </w:p>
        <w:p w14:paraId="3640A741" w14:textId="77777777" w:rsidR="00B36F7F" w:rsidRDefault="00B36F7F">
          <w:pPr>
            <w:pStyle w:val="TOC2"/>
            <w:tabs>
              <w:tab w:val="right" w:leader="dot" w:pos="9016"/>
            </w:tabs>
            <w:rPr>
              <w:rFonts w:eastAsiaTheme="minorEastAsia"/>
              <w:noProof/>
              <w:lang w:eastAsia="en-GB"/>
            </w:rPr>
          </w:pPr>
          <w:hyperlink w:anchor="_Toc227022453" w:history="1">
            <w:r w:rsidRPr="009F1027">
              <w:rPr>
                <w:rStyle w:val="Hyperlink"/>
                <w:noProof/>
              </w:rPr>
              <w:t>Literature / Background Reading.</w:t>
            </w:r>
            <w:r>
              <w:rPr>
                <w:noProof/>
                <w:webHidden/>
              </w:rPr>
              <w:tab/>
            </w:r>
            <w:r>
              <w:rPr>
                <w:noProof/>
                <w:webHidden/>
              </w:rPr>
              <w:fldChar w:fldCharType="begin"/>
            </w:r>
            <w:r>
              <w:rPr>
                <w:noProof/>
                <w:webHidden/>
              </w:rPr>
              <w:instrText xml:space="preserve"> PAGEREF _Toc227022453 \h </w:instrText>
            </w:r>
            <w:r>
              <w:rPr>
                <w:noProof/>
                <w:webHidden/>
              </w:rPr>
            </w:r>
            <w:r>
              <w:rPr>
                <w:noProof/>
                <w:webHidden/>
              </w:rPr>
              <w:fldChar w:fldCharType="separate"/>
            </w:r>
            <w:r>
              <w:rPr>
                <w:noProof/>
                <w:webHidden/>
              </w:rPr>
              <w:t>14</w:t>
            </w:r>
            <w:r>
              <w:rPr>
                <w:noProof/>
                <w:webHidden/>
              </w:rPr>
              <w:fldChar w:fldCharType="end"/>
            </w:r>
          </w:hyperlink>
        </w:p>
        <w:p w14:paraId="695D2A40" w14:textId="77777777" w:rsidR="00B36F7F" w:rsidRDefault="00B36F7F">
          <w:pPr>
            <w:pStyle w:val="TOC3"/>
            <w:tabs>
              <w:tab w:val="right" w:leader="dot" w:pos="9016"/>
            </w:tabs>
            <w:rPr>
              <w:rFonts w:eastAsiaTheme="minorEastAsia"/>
              <w:noProof/>
              <w:lang w:eastAsia="en-GB"/>
            </w:rPr>
          </w:pPr>
          <w:hyperlink w:anchor="_Toc227022454" w:history="1">
            <w:r w:rsidRPr="009F1027">
              <w:rPr>
                <w:rStyle w:val="Hyperlink"/>
                <w:noProof/>
              </w:rPr>
              <w:t>Background literature – importance, susQI</w:t>
            </w:r>
            <w:r>
              <w:rPr>
                <w:noProof/>
                <w:webHidden/>
              </w:rPr>
              <w:tab/>
            </w:r>
            <w:r>
              <w:rPr>
                <w:noProof/>
                <w:webHidden/>
              </w:rPr>
              <w:fldChar w:fldCharType="begin"/>
            </w:r>
            <w:r>
              <w:rPr>
                <w:noProof/>
                <w:webHidden/>
              </w:rPr>
              <w:instrText xml:space="preserve"> PAGEREF _Toc227022454 \h </w:instrText>
            </w:r>
            <w:r>
              <w:rPr>
                <w:noProof/>
                <w:webHidden/>
              </w:rPr>
            </w:r>
            <w:r>
              <w:rPr>
                <w:noProof/>
                <w:webHidden/>
              </w:rPr>
              <w:fldChar w:fldCharType="separate"/>
            </w:r>
            <w:r>
              <w:rPr>
                <w:noProof/>
                <w:webHidden/>
              </w:rPr>
              <w:t>14</w:t>
            </w:r>
            <w:r>
              <w:rPr>
                <w:noProof/>
                <w:webHidden/>
              </w:rPr>
              <w:fldChar w:fldCharType="end"/>
            </w:r>
          </w:hyperlink>
        </w:p>
        <w:p w14:paraId="362AB796" w14:textId="77777777" w:rsidR="00B36F7F" w:rsidRDefault="00B36F7F">
          <w:pPr>
            <w:pStyle w:val="TOC3"/>
            <w:tabs>
              <w:tab w:val="right" w:leader="dot" w:pos="9016"/>
            </w:tabs>
            <w:rPr>
              <w:rFonts w:eastAsiaTheme="minorEastAsia"/>
              <w:noProof/>
              <w:lang w:eastAsia="en-GB"/>
            </w:rPr>
          </w:pPr>
          <w:hyperlink w:anchor="_Toc227022455" w:history="1">
            <w:r w:rsidRPr="009F1027">
              <w:rPr>
                <w:rStyle w:val="Hyperlink"/>
                <w:noProof/>
                <w:lang w:eastAsia="en-GB"/>
              </w:rPr>
              <w:t>Policy</w:t>
            </w:r>
            <w:r>
              <w:rPr>
                <w:noProof/>
                <w:webHidden/>
              </w:rPr>
              <w:tab/>
            </w:r>
            <w:r>
              <w:rPr>
                <w:noProof/>
                <w:webHidden/>
              </w:rPr>
              <w:fldChar w:fldCharType="begin"/>
            </w:r>
            <w:r>
              <w:rPr>
                <w:noProof/>
                <w:webHidden/>
              </w:rPr>
              <w:instrText xml:space="preserve"> PAGEREF _Toc227022455 \h </w:instrText>
            </w:r>
            <w:r>
              <w:rPr>
                <w:noProof/>
                <w:webHidden/>
              </w:rPr>
            </w:r>
            <w:r>
              <w:rPr>
                <w:noProof/>
                <w:webHidden/>
              </w:rPr>
              <w:fldChar w:fldCharType="separate"/>
            </w:r>
            <w:r>
              <w:rPr>
                <w:noProof/>
                <w:webHidden/>
              </w:rPr>
              <w:t>14</w:t>
            </w:r>
            <w:r>
              <w:rPr>
                <w:noProof/>
                <w:webHidden/>
              </w:rPr>
              <w:fldChar w:fldCharType="end"/>
            </w:r>
          </w:hyperlink>
        </w:p>
        <w:p w14:paraId="1FD1C345" w14:textId="77777777" w:rsidR="00B36F7F" w:rsidRDefault="00B36F7F">
          <w:pPr>
            <w:pStyle w:val="TOC3"/>
            <w:tabs>
              <w:tab w:val="right" w:leader="dot" w:pos="9016"/>
            </w:tabs>
            <w:rPr>
              <w:rFonts w:eastAsiaTheme="minorEastAsia"/>
              <w:noProof/>
              <w:lang w:eastAsia="en-GB"/>
            </w:rPr>
          </w:pPr>
          <w:hyperlink w:anchor="_Toc227022456" w:history="1">
            <w:r w:rsidRPr="009F1027">
              <w:rPr>
                <w:rStyle w:val="Hyperlink"/>
                <w:noProof/>
              </w:rPr>
              <w:t>Education Initiatives to support susQI</w:t>
            </w:r>
            <w:r>
              <w:rPr>
                <w:noProof/>
                <w:webHidden/>
              </w:rPr>
              <w:tab/>
            </w:r>
            <w:r>
              <w:rPr>
                <w:noProof/>
                <w:webHidden/>
              </w:rPr>
              <w:fldChar w:fldCharType="begin"/>
            </w:r>
            <w:r>
              <w:rPr>
                <w:noProof/>
                <w:webHidden/>
              </w:rPr>
              <w:instrText xml:space="preserve"> PAGEREF _Toc227022456 \h </w:instrText>
            </w:r>
            <w:r>
              <w:rPr>
                <w:noProof/>
                <w:webHidden/>
              </w:rPr>
            </w:r>
            <w:r>
              <w:rPr>
                <w:noProof/>
                <w:webHidden/>
              </w:rPr>
              <w:fldChar w:fldCharType="separate"/>
            </w:r>
            <w:r>
              <w:rPr>
                <w:noProof/>
                <w:webHidden/>
              </w:rPr>
              <w:t>16</w:t>
            </w:r>
            <w:r>
              <w:rPr>
                <w:noProof/>
                <w:webHidden/>
              </w:rPr>
              <w:fldChar w:fldCharType="end"/>
            </w:r>
          </w:hyperlink>
        </w:p>
        <w:p w14:paraId="4D3CF65F" w14:textId="77777777" w:rsidR="002A71A2" w:rsidRDefault="002A71A2" w:rsidP="00520CA6">
          <w:r>
            <w:rPr>
              <w:noProof/>
            </w:rPr>
            <w:fldChar w:fldCharType="end"/>
          </w:r>
        </w:p>
      </w:sdtContent>
    </w:sdt>
    <w:p w14:paraId="36C47F37" w14:textId="77777777" w:rsidR="002A71A2" w:rsidRPr="002A71A2" w:rsidRDefault="002A71A2" w:rsidP="00520CA6"/>
    <w:p w14:paraId="2B513F9E" w14:textId="77777777" w:rsidR="009C2239" w:rsidRDefault="009C2239">
      <w:pPr>
        <w:spacing w:after="160"/>
      </w:pPr>
      <w:r>
        <w:br w:type="page"/>
      </w:r>
    </w:p>
    <w:p w14:paraId="670253AF" w14:textId="77777777" w:rsidR="003A32E3" w:rsidRDefault="003A32E3" w:rsidP="00C51C6A">
      <w:pPr>
        <w:pStyle w:val="Heading3"/>
      </w:pPr>
      <w:bookmarkStart w:id="1" w:name="_Toc227022448"/>
      <w:r>
        <w:lastRenderedPageBreak/>
        <w:t>Backgroun</w:t>
      </w:r>
      <w:r w:rsidR="00853C06">
        <w:t>d</w:t>
      </w:r>
      <w:bookmarkEnd w:id="1"/>
      <w:r>
        <w:t xml:space="preserve"> </w:t>
      </w:r>
    </w:p>
    <w:p w14:paraId="5F513EC2" w14:textId="77777777" w:rsidR="00ED5869" w:rsidRDefault="00431032" w:rsidP="003A32E3">
      <w:r>
        <w:t xml:space="preserve">Improving the environmental sustainability of clinical practice is both a legal and professional obligation for clinicians working in the UK’s National Health Service (NHS). </w:t>
      </w:r>
      <w:r w:rsidR="00ED5869">
        <w:t>The NHS contributes between 4% and 5% of England’s national emissions and makes up 40% of all public sector emissions (</w:t>
      </w:r>
      <w:hyperlink r:id="rId5" w:history="1">
        <w:r w:rsidR="00ED5869" w:rsidRPr="003A32E3">
          <w:rPr>
            <w:rStyle w:val="Hyperlink"/>
          </w:rPr>
          <w:t>Five years of a greener NHS</w:t>
        </w:r>
      </w:hyperlink>
      <w:r w:rsidR="00ED5869">
        <w:t>). To combat this, the</w:t>
      </w:r>
      <w:r w:rsidR="003A32E3" w:rsidRPr="002A71A2">
        <w:t xml:space="preserve"> NHS</w:t>
      </w:r>
      <w:r w:rsidR="00ED5869">
        <w:t xml:space="preserve"> is the first healthcare system in the world that has made a co</w:t>
      </w:r>
      <w:r w:rsidR="003A32E3" w:rsidRPr="002A71A2">
        <w:t xml:space="preserve">mmitment written in law to deliver </w:t>
      </w:r>
      <w:r w:rsidR="00ED5869">
        <w:t>a n</w:t>
      </w:r>
      <w:r w:rsidR="003A32E3" w:rsidRPr="002A71A2">
        <w:t xml:space="preserve">et </w:t>
      </w:r>
      <w:r w:rsidR="00ED5869">
        <w:t>z</w:t>
      </w:r>
      <w:r w:rsidR="003A32E3" w:rsidRPr="002A71A2">
        <w:t>ero</w:t>
      </w:r>
      <w:r w:rsidR="00ED5869">
        <w:t xml:space="preserve"> healthcare service</w:t>
      </w:r>
      <w:r w:rsidR="00D64DD6">
        <w:t xml:space="preserve"> </w:t>
      </w:r>
      <w:r w:rsidR="003A32E3" w:rsidRPr="002A71A2">
        <w:t>(</w:t>
      </w:r>
      <w:hyperlink r:id="rId6" w:tgtFrame="_blank" w:history="1">
        <w:r w:rsidR="003A32E3" w:rsidRPr="002A71A2">
          <w:rPr>
            <w:rStyle w:val="Hyperlink"/>
          </w:rPr>
          <w:t>Delivering a 'Net Zero' National Health Service</w:t>
        </w:r>
      </w:hyperlink>
      <w:r w:rsidR="003A32E3" w:rsidRPr="002A71A2">
        <w:t xml:space="preserve">, Health and </w:t>
      </w:r>
      <w:hyperlink r:id="rId7" w:tgtFrame="_blank" w:history="1">
        <w:r w:rsidR="003A32E3" w:rsidRPr="002A71A2">
          <w:rPr>
            <w:rStyle w:val="Hyperlink"/>
          </w:rPr>
          <w:t>Social Care Act 2022</w:t>
        </w:r>
      </w:hyperlink>
      <w:r w:rsidR="003A32E3" w:rsidRPr="002A71A2">
        <w:t xml:space="preserve">). </w:t>
      </w:r>
      <w:r w:rsidR="00ED5869">
        <w:t>Additionally, t</w:t>
      </w:r>
      <w:r w:rsidR="003A32E3" w:rsidRPr="002A71A2">
        <w:t xml:space="preserve">he </w:t>
      </w:r>
      <w:r w:rsidR="00ED5869">
        <w:t>General Medical Council’s (GMC)</w:t>
      </w:r>
      <w:r w:rsidR="003A32E3" w:rsidRPr="002A71A2">
        <w:t xml:space="preserve"> Good Medical Practice outlines </w:t>
      </w:r>
      <w:r w:rsidR="00ED5869">
        <w:t xml:space="preserve">the duties and responsibilities of practicing clinicians, which `includes </w:t>
      </w:r>
      <w:r w:rsidR="003A32E3" w:rsidRPr="002A71A2">
        <w:t xml:space="preserve">a duty to use resources responsibly, and choose sustainable solutions where it does not compromise </w:t>
      </w:r>
      <w:r w:rsidR="00ED5869">
        <w:t xml:space="preserve">the quality of </w:t>
      </w:r>
      <w:r w:rsidR="003A32E3" w:rsidRPr="002A71A2">
        <w:t>care (</w:t>
      </w:r>
      <w:hyperlink r:id="rId8" w:history="1">
        <w:r w:rsidR="003A32E3" w:rsidRPr="006E1743">
          <w:rPr>
            <w:rStyle w:val="Hyperlink"/>
          </w:rPr>
          <w:t>Good Medical Practice 2024</w:t>
        </w:r>
      </w:hyperlink>
      <w:r w:rsidR="003A32E3" w:rsidRPr="002A71A2">
        <w:t xml:space="preserve">). </w:t>
      </w:r>
    </w:p>
    <w:p w14:paraId="4AE17EAE" w14:textId="77777777" w:rsidR="00ED5869" w:rsidRDefault="00ED5869" w:rsidP="003A32E3"/>
    <w:p w14:paraId="47C5A9C2" w14:textId="77777777" w:rsidR="003A32E3" w:rsidRDefault="00ED5869" w:rsidP="003A32E3">
      <w:r>
        <w:t>In line with national efforts to reduce emissions, East Kent Universities Hospitals NHS Foundation Trusts has recently published its first Green Plan, outlining its ambitions to contribute towards this target (</w:t>
      </w:r>
      <w:hyperlink r:id="rId9" w:history="1">
        <w:r w:rsidRPr="00ED5869">
          <w:rPr>
            <w:rStyle w:val="Hyperlink"/>
          </w:rPr>
          <w:t>EKUHFT 2026).</w:t>
        </w:r>
      </w:hyperlink>
      <w:r>
        <w:t xml:space="preserve"> Included as a new target is the goal of integrating environmental sustainability as a domain of the clinical quality improvement framework. </w:t>
      </w:r>
    </w:p>
    <w:p w14:paraId="050E5B6F" w14:textId="77777777" w:rsidR="003A32E3" w:rsidRDefault="003A32E3" w:rsidP="003A32E3"/>
    <w:p w14:paraId="12D670A4" w14:textId="77777777" w:rsidR="003A32E3" w:rsidRDefault="003A32E3" w:rsidP="003A32E3">
      <w:hyperlink r:id="rId10" w:history="1">
        <w:r w:rsidRPr="000714ED">
          <w:rPr>
            <w:rStyle w:val="Hyperlink"/>
          </w:rPr>
          <w:t>Sustainable Quality Improvement Projects</w:t>
        </w:r>
      </w:hyperlink>
      <w:r w:rsidRPr="002A71A2">
        <w:t xml:space="preserve"> (SusQI) have significant potential to improve patient care, reduce healthcare-associated carbon emissions,</w:t>
      </w:r>
      <w:r>
        <w:t xml:space="preserve"> improve staff wellbeing</w:t>
      </w:r>
      <w:r w:rsidRPr="002A71A2">
        <w:t xml:space="preserve"> and generate economic savings</w:t>
      </w:r>
      <w:r>
        <w:t xml:space="preserve"> (</w:t>
      </w:r>
      <w:hyperlink r:id="rId11" w:history="1">
        <w:r w:rsidR="00ED5869" w:rsidRPr="00942667">
          <w:rPr>
            <w:rStyle w:val="Hyperlink"/>
          </w:rPr>
          <w:t>CSH</w:t>
        </w:r>
        <w:r w:rsidR="00942667" w:rsidRPr="00942667">
          <w:rPr>
            <w:rStyle w:val="Hyperlink"/>
          </w:rPr>
          <w:t xml:space="preserve"> 2026</w:t>
        </w:r>
      </w:hyperlink>
      <w:r w:rsidRPr="003A32E3">
        <w:t>)</w:t>
      </w:r>
      <w:r w:rsidRPr="002A71A2">
        <w:t xml:space="preserve">. </w:t>
      </w:r>
      <w:r w:rsidR="00A32C65">
        <w:t xml:space="preserve">A significant proportion of NHS carbon emissions are resultant from medicines, equipment and waste production, all areas within the scope of clinical quality improvement projects </w:t>
      </w:r>
      <w:hyperlink r:id="rId12" w:history="1">
        <w:r w:rsidR="00A32C65" w:rsidRPr="00A32C65">
          <w:rPr>
            <w:rStyle w:val="Hyperlink"/>
          </w:rPr>
          <w:t>(</w:t>
        </w:r>
        <w:r w:rsidR="00A32C65">
          <w:rPr>
            <w:rStyle w:val="Hyperlink"/>
          </w:rPr>
          <w:t xml:space="preserve">20%, 18%, 5% respectively. </w:t>
        </w:r>
        <w:r w:rsidR="00A32C65" w:rsidRPr="00A32C65">
          <w:rPr>
            <w:rStyle w:val="Hyperlink"/>
          </w:rPr>
          <w:t>Figure 2: Delivering a Net Zero NHS</w:t>
        </w:r>
      </w:hyperlink>
      <w:r w:rsidR="00A32C65">
        <w:t xml:space="preserve">). </w:t>
      </w:r>
      <w:r w:rsidR="00942667">
        <w:t>Significant work has been done nationally but non-profit organisations to support the development of SusQI including work produced by t</w:t>
      </w:r>
      <w:r w:rsidRPr="002A71A2">
        <w:t xml:space="preserve">he </w:t>
      </w:r>
      <w:hyperlink r:id="rId13" w:history="1">
        <w:r w:rsidRPr="00A32C65">
          <w:rPr>
            <w:rStyle w:val="Hyperlink"/>
          </w:rPr>
          <w:t>Centre for Sustainable Healthcare</w:t>
        </w:r>
      </w:hyperlink>
      <w:r w:rsidRPr="002A71A2">
        <w:t xml:space="preserve"> (CSH). </w:t>
      </w:r>
    </w:p>
    <w:p w14:paraId="47AC09B6" w14:textId="77777777" w:rsidR="00AE6FDB" w:rsidRDefault="00AE6FDB" w:rsidP="003A32E3"/>
    <w:p w14:paraId="2DFD658F" w14:textId="77777777" w:rsidR="00AE6FDB" w:rsidRDefault="002D4D2C" w:rsidP="003A32E3">
      <w:r>
        <w:t xml:space="preserve">SusQI </w:t>
      </w:r>
      <w:r w:rsidR="00946D42">
        <w:t>expands the traditional quality improvement framework to challenge practitioners to redefine ‘value’ in a changing environment with growing concerns of the impacts of climate change and ecological destruction (</w:t>
      </w:r>
      <w:hyperlink r:id="rId14" w:history="1">
        <w:r w:rsidR="00946D42" w:rsidRPr="00946D42">
          <w:rPr>
            <w:rStyle w:val="Hyperlink"/>
          </w:rPr>
          <w:t>What is SusQI</w:t>
        </w:r>
      </w:hyperlink>
      <w:r w:rsidR="00946D42">
        <w:t>). It frames value not in terms just of safety and efficiency (including financial), but utilises principles of sustainable healthcare (prevention, lean service provision, low-carbon alternatives and patient empowerment)</w:t>
      </w:r>
      <w:r w:rsidR="00942667">
        <w:t xml:space="preserve"> and wider social considerations</w:t>
      </w:r>
      <w:r w:rsidR="00946D42">
        <w:t xml:space="preserve"> to ensure that improvements to do not compromise the ability to deliver care in the future. </w:t>
      </w:r>
    </w:p>
    <w:p w14:paraId="6D2DDBA4" w14:textId="77777777" w:rsidR="00A32C65" w:rsidRDefault="00A32C65" w:rsidP="003A32E3"/>
    <w:p w14:paraId="1350015E" w14:textId="77777777" w:rsidR="00A32C65" w:rsidRDefault="00A32C65" w:rsidP="00A32C65">
      <w:r>
        <w:t xml:space="preserve">Included as part of the </w:t>
      </w:r>
      <w:hyperlink r:id="rId15" w:history="1">
        <w:r w:rsidRPr="00B60EB0">
          <w:rPr>
            <w:rStyle w:val="Hyperlink"/>
          </w:rPr>
          <w:t>Enhance Foundation Curriculum for Foundation Programme Trainees</w:t>
        </w:r>
      </w:hyperlink>
      <w:r>
        <w:t xml:space="preserve"> is the </w:t>
      </w:r>
      <w:r w:rsidR="00946D42">
        <w:t>learning requirement</w:t>
      </w:r>
      <w:r>
        <w:t xml:space="preserve"> of trainees to “identify, evaluate and embed measures of environmental sustainability as outcomes of quality improvement activity”</w:t>
      </w:r>
      <w:r w:rsidR="00942667">
        <w:t xml:space="preserve"> (</w:t>
      </w:r>
      <w:hyperlink r:id="rId16" w:history="1">
        <w:r w:rsidR="00942667" w:rsidRPr="00942667">
          <w:rPr>
            <w:rStyle w:val="Hyperlink"/>
          </w:rPr>
          <w:t>Enhance</w:t>
        </w:r>
      </w:hyperlink>
      <w:r w:rsidR="00942667">
        <w:t>)</w:t>
      </w:r>
      <w:r>
        <w:t>. Locally, within East Kent Universities Hospitals NHS Foundation Trust (EKUHFT), teaching has been delivered to foundation doctors on embedding environmental sustainability within quality improvement</w:t>
      </w:r>
      <w:r w:rsidR="00946D42">
        <w:t>. In</w:t>
      </w:r>
      <w:r>
        <w:t>vestigation following this teaching identified that trainees reported high confidence and motivation to participate in SusQI</w:t>
      </w:r>
      <w:r w:rsidR="00853C06">
        <w:t xml:space="preserve"> (</w:t>
      </w:r>
      <w:hyperlink r:id="rId17" w:history="1">
        <w:r w:rsidR="00946D42" w:rsidRPr="00946D42">
          <w:rPr>
            <w:rStyle w:val="Hyperlink"/>
          </w:rPr>
          <w:t>Joseph Friel Success Form</w:t>
        </w:r>
      </w:hyperlink>
      <w:r w:rsidR="00853C06">
        <w:t>)</w:t>
      </w:r>
      <w:r>
        <w:t xml:space="preserve">. </w:t>
      </w:r>
    </w:p>
    <w:p w14:paraId="7F511E14" w14:textId="77777777" w:rsidR="002265DA" w:rsidRDefault="002265DA" w:rsidP="003A32E3"/>
    <w:p w14:paraId="65FBE88A" w14:textId="77777777" w:rsidR="002265DA" w:rsidRDefault="00942667" w:rsidP="003A32E3">
      <w:r>
        <w:t xml:space="preserve">Integration of SusQI and environmental sustainability within quality improvement work at EKUHFT has potentially significant impact to reduced carbon emissions. </w:t>
      </w:r>
      <w:r w:rsidR="002265DA">
        <w:t xml:space="preserve">The aim of this service improvement project is to improve the integration of environmental sustainability within trust wide quality improvement work. </w:t>
      </w:r>
    </w:p>
    <w:p w14:paraId="0C14D8F7" w14:textId="77777777" w:rsidR="00942667" w:rsidRDefault="00942667" w:rsidP="003A32E3"/>
    <w:p w14:paraId="16D4459D" w14:textId="77777777" w:rsidR="0023582F" w:rsidRPr="0023582F" w:rsidRDefault="0023582F" w:rsidP="003A32E3">
      <w:pPr>
        <w:rPr>
          <w:b/>
        </w:rPr>
      </w:pPr>
      <w:r>
        <w:rPr>
          <w:b/>
        </w:rPr>
        <w:t xml:space="preserve">Figure 1: Drivers and outcomes of Sustainable Quality Improvement </w:t>
      </w:r>
    </w:p>
    <w:p w14:paraId="687F4F41" w14:textId="77777777" w:rsidR="00942667" w:rsidRDefault="00942667" w:rsidP="003A32E3">
      <w:r>
        <w:rPr>
          <w:noProof/>
        </w:rPr>
        <w:lastRenderedPageBreak/>
        <w:drawing>
          <wp:inline distT="0" distB="0" distL="0" distR="0" wp14:anchorId="1C30B4AB" wp14:editId="138FD84E">
            <wp:extent cx="5731510" cy="3850640"/>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usQI Drivers and outcomes.png"/>
                    <pic:cNvPicPr/>
                  </pic:nvPicPr>
                  <pic:blipFill>
                    <a:blip r:embed="rId18">
                      <a:extLst>
                        <a:ext uri="{28A0092B-C50C-407E-A947-70E740481C1C}">
                          <a14:useLocalDpi xmlns:a14="http://schemas.microsoft.com/office/drawing/2010/main" val="0"/>
                        </a:ext>
                      </a:extLst>
                    </a:blip>
                    <a:stretch>
                      <a:fillRect/>
                    </a:stretch>
                  </pic:blipFill>
                  <pic:spPr>
                    <a:xfrm>
                      <a:off x="0" y="0"/>
                      <a:ext cx="5731510" cy="3850640"/>
                    </a:xfrm>
                    <a:prstGeom prst="rect">
                      <a:avLst/>
                    </a:prstGeom>
                  </pic:spPr>
                </pic:pic>
              </a:graphicData>
            </a:graphic>
          </wp:inline>
        </w:drawing>
      </w:r>
    </w:p>
    <w:p w14:paraId="77106BCB" w14:textId="77777777" w:rsidR="00853C06" w:rsidRDefault="00853C06">
      <w:pPr>
        <w:spacing w:after="160"/>
      </w:pPr>
    </w:p>
    <w:p w14:paraId="4C043C43" w14:textId="77777777" w:rsidR="00853C06" w:rsidRDefault="0023582F" w:rsidP="00C51C6A">
      <w:pPr>
        <w:pStyle w:val="Heading3"/>
      </w:pPr>
      <w:bookmarkStart w:id="2" w:name="_Toc227022449"/>
      <w:r>
        <w:t>Understanding the Problem</w:t>
      </w:r>
      <w:bookmarkEnd w:id="2"/>
    </w:p>
    <w:p w14:paraId="5988B75F" w14:textId="77777777" w:rsidR="0023582F" w:rsidRPr="0023582F" w:rsidRDefault="0023582F" w:rsidP="0023582F">
      <w:r>
        <w:t>Using the KENT project management framework (?reference) to guide the development of this project. Following initial scoping and mapping out of the quality improvement completion pathway, the trusts ‘Improvement Team’ were identified as key stakeholder with signi</w:t>
      </w:r>
      <w:r w:rsidR="00C83C77">
        <w:t>fi</w:t>
      </w:r>
      <w:r>
        <w:t xml:space="preserve">cant opportunity to influence outcomes of QIP and provide a potential high </w:t>
      </w:r>
      <w:r w:rsidR="00C83C77">
        <w:t xml:space="preserve">return on intervention value. </w:t>
      </w:r>
      <w:r w:rsidR="00503561">
        <w:t xml:space="preserve">Figure three outlines the mapped process. </w:t>
      </w:r>
      <w:r w:rsidR="00C83C77">
        <w:t xml:space="preserve">The improvement team are made of clinical and non-clinical </w:t>
      </w:r>
      <w:r w:rsidR="00503561">
        <w:t xml:space="preserve">staff who approve, mentor and collate the findings of completed quality improvement projects. They are uniquely positioned to influence the broad range of quality improvement work across the entire trust. Having decided to focus in on this target group, </w:t>
      </w:r>
      <w:r>
        <w:t xml:space="preserve">figure </w:t>
      </w:r>
      <w:r w:rsidR="00503561">
        <w:t>three</w:t>
      </w:r>
      <w:r>
        <w:t xml:space="preserve"> outlines the initial scoping process using the in and out of scope framing tool. </w:t>
      </w:r>
    </w:p>
    <w:p w14:paraId="6CEF99F7" w14:textId="77777777" w:rsidR="0073522D" w:rsidRDefault="0073522D" w:rsidP="00E94D15"/>
    <w:p w14:paraId="3EF28C7F" w14:textId="77777777" w:rsidR="00E94D15" w:rsidRPr="00FC3AAB" w:rsidRDefault="0023582F" w:rsidP="00E94D15">
      <w:pPr>
        <w:rPr>
          <w:b/>
        </w:rPr>
      </w:pPr>
      <w:r>
        <w:rPr>
          <w:b/>
        </w:rPr>
        <w:t xml:space="preserve">Figure </w:t>
      </w:r>
      <w:r w:rsidR="00503561">
        <w:rPr>
          <w:b/>
        </w:rPr>
        <w:t>3</w:t>
      </w:r>
      <w:r>
        <w:rPr>
          <w:b/>
        </w:rPr>
        <w:t xml:space="preserve">: </w:t>
      </w:r>
      <w:r w:rsidR="00E94D15">
        <w:rPr>
          <w:b/>
        </w:rPr>
        <w:t>In and out of scope frame</w:t>
      </w:r>
    </w:p>
    <w:tbl>
      <w:tblPr>
        <w:tblStyle w:val="TableGrid"/>
        <w:tblW w:w="0" w:type="auto"/>
        <w:tblLook w:val="04A0" w:firstRow="1" w:lastRow="0" w:firstColumn="1" w:lastColumn="0" w:noHBand="0" w:noVBand="1"/>
      </w:tblPr>
      <w:tblGrid>
        <w:gridCol w:w="3647"/>
        <w:gridCol w:w="5369"/>
      </w:tblGrid>
      <w:tr w:rsidR="00E94D15" w:rsidRPr="00FC3AAB" w14:paraId="242C5880" w14:textId="77777777" w:rsidTr="00E94D15">
        <w:tc>
          <w:tcPr>
            <w:tcW w:w="0" w:type="auto"/>
            <w:shd w:val="clear" w:color="auto" w:fill="E2EFD9" w:themeFill="accent6" w:themeFillTint="33"/>
            <w:hideMark/>
          </w:tcPr>
          <w:p w14:paraId="7A04B009" w14:textId="77777777" w:rsidR="00E94D15" w:rsidRPr="00FC3AAB" w:rsidRDefault="00E94D15" w:rsidP="00E94D15">
            <w:pPr>
              <w:spacing w:after="240"/>
            </w:pPr>
            <w:r w:rsidRPr="00FC3AAB">
              <w:rPr>
                <w:b/>
                <w:bCs/>
              </w:rPr>
              <w:t>IN SCOPE</w:t>
            </w:r>
          </w:p>
        </w:tc>
        <w:tc>
          <w:tcPr>
            <w:tcW w:w="0" w:type="auto"/>
            <w:shd w:val="clear" w:color="auto" w:fill="FBE4D5" w:themeFill="accent2" w:themeFillTint="33"/>
            <w:hideMark/>
          </w:tcPr>
          <w:p w14:paraId="20E2498D" w14:textId="77777777" w:rsidR="00E94D15" w:rsidRPr="00FC3AAB" w:rsidRDefault="00E94D15" w:rsidP="00E94D15">
            <w:pPr>
              <w:spacing w:after="240"/>
            </w:pPr>
            <w:r w:rsidRPr="00FC3AAB">
              <w:rPr>
                <w:b/>
                <w:bCs/>
              </w:rPr>
              <w:t>OUT OF SCOPE</w:t>
            </w:r>
          </w:p>
        </w:tc>
      </w:tr>
      <w:tr w:rsidR="00E94D15" w:rsidRPr="00FC3AAB" w14:paraId="4EE2D0DA" w14:textId="77777777" w:rsidTr="00E94D15">
        <w:tc>
          <w:tcPr>
            <w:tcW w:w="0" w:type="auto"/>
            <w:shd w:val="clear" w:color="auto" w:fill="E2EFD9" w:themeFill="accent6" w:themeFillTint="33"/>
            <w:hideMark/>
          </w:tcPr>
          <w:p w14:paraId="544BFBC4" w14:textId="77777777" w:rsidR="00E94D15" w:rsidRPr="00FC3AAB" w:rsidRDefault="00E94D15" w:rsidP="00E94D15">
            <w:pPr>
              <w:spacing w:after="240"/>
            </w:pPr>
            <w:r w:rsidRPr="00FC3AAB">
              <w:rPr>
                <w:b/>
                <w:bCs/>
              </w:rPr>
              <w:t>Target Audience:</w:t>
            </w:r>
            <w:r w:rsidRPr="00FC3AAB">
              <w:t xml:space="preserve"> </w:t>
            </w:r>
            <w:r>
              <w:t>Quality improvement mentors</w:t>
            </w:r>
          </w:p>
        </w:tc>
        <w:tc>
          <w:tcPr>
            <w:tcW w:w="0" w:type="auto"/>
            <w:shd w:val="clear" w:color="auto" w:fill="FBE4D5" w:themeFill="accent2" w:themeFillTint="33"/>
            <w:hideMark/>
          </w:tcPr>
          <w:p w14:paraId="0206832C" w14:textId="77777777" w:rsidR="00E94D15" w:rsidRPr="00FC3AAB" w:rsidRDefault="00E94D15" w:rsidP="00E94D15">
            <w:pPr>
              <w:spacing w:after="240"/>
            </w:pPr>
            <w:r w:rsidRPr="00FC3AAB">
              <w:rPr>
                <w:b/>
                <w:bCs/>
              </w:rPr>
              <w:t>Target Audience:</w:t>
            </w:r>
            <w:r w:rsidRPr="00FC3AAB">
              <w:t xml:space="preserve"> Medical Students, Nurses, or Allied Health Professionals (unless they are QIP supervisors).</w:t>
            </w:r>
            <w:r>
              <w:t xml:space="preserve"> </w:t>
            </w:r>
            <w:r w:rsidRPr="00FC3AAB">
              <w:t>QIP Supervisors (Consultants, Registrars, SAS doctors) within EKHUFT.</w:t>
            </w:r>
          </w:p>
        </w:tc>
      </w:tr>
      <w:tr w:rsidR="00E94D15" w:rsidRPr="00FC3AAB" w14:paraId="4D2EB0A0" w14:textId="77777777" w:rsidTr="00E94D15">
        <w:tc>
          <w:tcPr>
            <w:tcW w:w="0" w:type="auto"/>
            <w:shd w:val="clear" w:color="auto" w:fill="E2EFD9" w:themeFill="accent6" w:themeFillTint="33"/>
            <w:hideMark/>
          </w:tcPr>
          <w:p w14:paraId="6E7318EE" w14:textId="77777777" w:rsidR="00E94D15" w:rsidRPr="00FC3AAB" w:rsidRDefault="00E94D15" w:rsidP="00E94D15">
            <w:pPr>
              <w:spacing w:after="240"/>
            </w:pPr>
            <w:r w:rsidRPr="00FC3AAB">
              <w:rPr>
                <w:b/>
                <w:bCs/>
              </w:rPr>
              <w:t>Process:</w:t>
            </w:r>
            <w:r w:rsidRPr="00FC3AAB">
              <w:t xml:space="preserve"> The QIP </w:t>
            </w:r>
            <w:r w:rsidRPr="00FC3AAB">
              <w:rPr>
                <w:i/>
                <w:iCs/>
              </w:rPr>
              <w:t>Registration</w:t>
            </w:r>
            <w:r w:rsidRPr="00FC3AAB">
              <w:t xml:space="preserve"> and </w:t>
            </w:r>
            <w:r w:rsidRPr="00FC3AAB">
              <w:rPr>
                <w:i/>
                <w:iCs/>
              </w:rPr>
              <w:t>Supervision</w:t>
            </w:r>
            <w:r w:rsidRPr="00FC3AAB">
              <w:t xml:space="preserve"> process.</w:t>
            </w:r>
          </w:p>
        </w:tc>
        <w:tc>
          <w:tcPr>
            <w:tcW w:w="0" w:type="auto"/>
            <w:shd w:val="clear" w:color="auto" w:fill="FBE4D5" w:themeFill="accent2" w:themeFillTint="33"/>
            <w:hideMark/>
          </w:tcPr>
          <w:p w14:paraId="50905C38" w14:textId="77777777" w:rsidR="00E94D15" w:rsidRPr="00FC3AAB" w:rsidRDefault="00E94D15" w:rsidP="00E94D15">
            <w:pPr>
              <w:spacing w:after="240"/>
            </w:pPr>
            <w:r w:rsidRPr="00FC3AAB">
              <w:rPr>
                <w:b/>
                <w:bCs/>
              </w:rPr>
              <w:t>Process:</w:t>
            </w:r>
            <w:r w:rsidRPr="00FC3AAB">
              <w:t xml:space="preserve"> The </w:t>
            </w:r>
            <w:r w:rsidRPr="00FC3AAB">
              <w:rPr>
                <w:i/>
                <w:iCs/>
              </w:rPr>
              <w:t>completion</w:t>
            </w:r>
            <w:r w:rsidRPr="00FC3AAB">
              <w:t xml:space="preserve"> or </w:t>
            </w:r>
            <w:r w:rsidRPr="00FC3AAB">
              <w:rPr>
                <w:i/>
                <w:iCs/>
              </w:rPr>
              <w:t>success</w:t>
            </w:r>
            <w:r w:rsidRPr="00FC3AAB">
              <w:t xml:space="preserve"> of the individual clinical projects.</w:t>
            </w:r>
          </w:p>
        </w:tc>
      </w:tr>
      <w:tr w:rsidR="00E94D15" w:rsidRPr="00FC3AAB" w14:paraId="616B37F4" w14:textId="77777777" w:rsidTr="00E94D15">
        <w:tc>
          <w:tcPr>
            <w:tcW w:w="0" w:type="auto"/>
            <w:shd w:val="clear" w:color="auto" w:fill="E2EFD9" w:themeFill="accent6" w:themeFillTint="33"/>
            <w:hideMark/>
          </w:tcPr>
          <w:p w14:paraId="133AD3A1" w14:textId="77777777" w:rsidR="00E94D15" w:rsidRPr="00FC3AAB" w:rsidRDefault="00E94D15" w:rsidP="00E94D15">
            <w:pPr>
              <w:spacing w:after="240"/>
            </w:pPr>
            <w:r w:rsidRPr="00FC3AAB">
              <w:rPr>
                <w:b/>
                <w:bCs/>
              </w:rPr>
              <w:t>Geography:</w:t>
            </w:r>
            <w:r w:rsidRPr="00FC3AAB">
              <w:t xml:space="preserve"> EKHUFT </w:t>
            </w:r>
            <w:r>
              <w:t>QIP Department</w:t>
            </w:r>
            <w:r w:rsidRPr="00FC3AAB">
              <w:t>.</w:t>
            </w:r>
          </w:p>
        </w:tc>
        <w:tc>
          <w:tcPr>
            <w:tcW w:w="0" w:type="auto"/>
            <w:shd w:val="clear" w:color="auto" w:fill="FBE4D5" w:themeFill="accent2" w:themeFillTint="33"/>
            <w:hideMark/>
          </w:tcPr>
          <w:p w14:paraId="52D5715F" w14:textId="77777777" w:rsidR="00E94D15" w:rsidRPr="00FC3AAB" w:rsidRDefault="00E94D15" w:rsidP="00E94D15">
            <w:pPr>
              <w:spacing w:after="240"/>
            </w:pPr>
            <w:r w:rsidRPr="00FC3AAB">
              <w:rPr>
                <w:b/>
                <w:bCs/>
              </w:rPr>
              <w:t>Geography:</w:t>
            </w:r>
            <w:r w:rsidRPr="00FC3AAB">
              <w:t xml:space="preserve"> Other Trusts or GP practices.</w:t>
            </w:r>
          </w:p>
        </w:tc>
      </w:tr>
      <w:tr w:rsidR="00E94D15" w:rsidRPr="00FC3AAB" w14:paraId="570B641E" w14:textId="77777777" w:rsidTr="00E94D15">
        <w:tc>
          <w:tcPr>
            <w:tcW w:w="0" w:type="auto"/>
            <w:shd w:val="clear" w:color="auto" w:fill="E2EFD9" w:themeFill="accent6" w:themeFillTint="33"/>
            <w:hideMark/>
          </w:tcPr>
          <w:p w14:paraId="694E81CD" w14:textId="77777777" w:rsidR="00E94D15" w:rsidRPr="00FC3AAB" w:rsidRDefault="00E94D15" w:rsidP="00E94D15">
            <w:pPr>
              <w:spacing w:after="240"/>
            </w:pPr>
            <w:r w:rsidRPr="00FC3AAB">
              <w:rPr>
                <w:b/>
                <w:bCs/>
              </w:rPr>
              <w:lastRenderedPageBreak/>
              <w:t>Deliverables:</w:t>
            </w:r>
            <w:r w:rsidRPr="00FC3AAB">
              <w:t xml:space="preserve"> </w:t>
            </w:r>
            <w:r>
              <w:t>Intervention to support QIP Mentors integrating environmental sustainability in EKUHFT</w:t>
            </w:r>
            <w:r w:rsidRPr="00FC3AAB">
              <w:t>.</w:t>
            </w:r>
          </w:p>
        </w:tc>
        <w:tc>
          <w:tcPr>
            <w:tcW w:w="0" w:type="auto"/>
            <w:shd w:val="clear" w:color="auto" w:fill="FBE4D5" w:themeFill="accent2" w:themeFillTint="33"/>
            <w:hideMark/>
          </w:tcPr>
          <w:p w14:paraId="03D68079" w14:textId="77777777" w:rsidR="00E94D15" w:rsidRPr="00FC3AAB" w:rsidRDefault="00E94D15" w:rsidP="00E94D15">
            <w:pPr>
              <w:spacing w:after="240"/>
            </w:pPr>
            <w:r w:rsidRPr="00FC3AAB">
              <w:rPr>
                <w:b/>
                <w:bCs/>
              </w:rPr>
              <w:t>Deliverables:</w:t>
            </w:r>
            <w:r w:rsidRPr="00FC3AAB">
              <w:t xml:space="preserve"> Creating a full SusQI curriculum, running a full workshop series, or changing Trust-wide procurement policies.</w:t>
            </w:r>
          </w:p>
        </w:tc>
      </w:tr>
      <w:tr w:rsidR="00E94D15" w:rsidRPr="00FC3AAB" w14:paraId="090F0697" w14:textId="77777777" w:rsidTr="00E94D15">
        <w:tc>
          <w:tcPr>
            <w:tcW w:w="0" w:type="auto"/>
            <w:shd w:val="clear" w:color="auto" w:fill="E2EFD9" w:themeFill="accent6" w:themeFillTint="33"/>
            <w:hideMark/>
          </w:tcPr>
          <w:p w14:paraId="6B0CBBA5" w14:textId="77777777" w:rsidR="00E94D15" w:rsidRPr="00FC3AAB" w:rsidRDefault="00E94D15" w:rsidP="00E94D15">
            <w:pPr>
              <w:spacing w:after="240"/>
            </w:pPr>
            <w:r w:rsidRPr="00FC3AAB">
              <w:rPr>
                <w:b/>
                <w:bCs/>
              </w:rPr>
              <w:t>Timeframe:</w:t>
            </w:r>
            <w:r w:rsidRPr="00FC3AAB">
              <w:t xml:space="preserve"> Project completion by April 2025.</w:t>
            </w:r>
          </w:p>
        </w:tc>
        <w:tc>
          <w:tcPr>
            <w:tcW w:w="0" w:type="auto"/>
            <w:shd w:val="clear" w:color="auto" w:fill="FBE4D5" w:themeFill="accent2" w:themeFillTint="33"/>
            <w:hideMark/>
          </w:tcPr>
          <w:p w14:paraId="6287A698" w14:textId="77777777" w:rsidR="00E94D15" w:rsidRPr="00FC3AAB" w:rsidRDefault="00E94D15" w:rsidP="00E94D15">
            <w:pPr>
              <w:spacing w:after="240"/>
            </w:pPr>
            <w:r w:rsidRPr="00FC3AAB">
              <w:rPr>
                <w:b/>
                <w:bCs/>
              </w:rPr>
              <w:t>Timeframe:</w:t>
            </w:r>
            <w:r w:rsidRPr="00FC3AAB">
              <w:t xml:space="preserve"> Long-term longitudinal follow-up (post-April).</w:t>
            </w:r>
          </w:p>
        </w:tc>
      </w:tr>
    </w:tbl>
    <w:p w14:paraId="207C7B84" w14:textId="77777777" w:rsidR="00E94D15" w:rsidRDefault="00E94D15" w:rsidP="00E94D15"/>
    <w:p w14:paraId="629B3451" w14:textId="77777777" w:rsidR="00503561" w:rsidRDefault="00503561" w:rsidP="00E94D15">
      <w:pPr>
        <w:rPr>
          <w:b/>
        </w:rPr>
      </w:pPr>
      <w:r>
        <w:rPr>
          <w:b/>
        </w:rPr>
        <w:t xml:space="preserve">Baseline audit of completed QIP for environmental sustainability. </w:t>
      </w:r>
    </w:p>
    <w:p w14:paraId="7732FE8F" w14:textId="77777777" w:rsidR="00503561" w:rsidRDefault="00503561" w:rsidP="00E94D15">
      <w:r>
        <w:t xml:space="preserve">In order to gain an understanding of the current state of environmental sustainability within quality improvement, a baseline audit was completed. Each completed QIP at EKUHFT is registered with the Improvements Team via a ‘success form’ which outlines the project, its aims and outcomes. This information is collated via one master spreadsheet. An audit criteria was developed based on the Centre for Sustainable Healthcare’s principles of sustainability. Each success form was reviewed for i) explicit inclusion of environmental sustainability ii) missed opportunities pertaining to each domain of sustainable healthcare (prevention, lean service pathways, patient empowerment, low-carbon alternatives). </w:t>
      </w:r>
    </w:p>
    <w:p w14:paraId="7A5CACCE" w14:textId="77777777" w:rsidR="00A1297B" w:rsidRDefault="00A1297B" w:rsidP="00E94D15"/>
    <w:p w14:paraId="505E5A97" w14:textId="77777777" w:rsidR="00A1297B" w:rsidRDefault="00A1297B" w:rsidP="00A1297B">
      <w:r>
        <w:t>211 completed QIPs from the last 18 months were included in the baseline audit. Of these, six projects (2.8%) explicitly included environmental sustainability (identified within the project title, problem statement, improvement idea description, or key success criteria). A further 36 projects included obvious missed opportunities for the integration of environmental sustainability.</w:t>
      </w:r>
    </w:p>
    <w:p w14:paraId="4EC62128" w14:textId="77777777" w:rsidR="00A1297B" w:rsidRDefault="00A1297B" w:rsidP="00A1297B"/>
    <w:p w14:paraId="21F2CE41" w14:textId="77777777" w:rsidR="00A1297B" w:rsidRDefault="00A1297B" w:rsidP="00A1297B">
      <w:pPr>
        <w:ind w:left="360"/>
      </w:pPr>
      <w:r>
        <w:t>Examples include:</w:t>
      </w:r>
    </w:p>
    <w:p w14:paraId="7ADF5B77" w14:textId="77777777" w:rsidR="00A1297B" w:rsidRDefault="00A1297B" w:rsidP="00A1297B">
      <w:pPr>
        <w:numPr>
          <w:ilvl w:val="0"/>
          <w:numId w:val="15"/>
        </w:numPr>
        <w:tabs>
          <w:tab w:val="clear" w:pos="720"/>
          <w:tab w:val="num" w:pos="1080"/>
        </w:tabs>
        <w:spacing w:line="256" w:lineRule="auto"/>
        <w:ind w:left="1080"/>
      </w:pPr>
      <w:r>
        <w:rPr>
          <w:b/>
          <w:bCs/>
        </w:rPr>
        <w:t>Lean Service Pathways:</w:t>
      </w:r>
      <w:r>
        <w:t xml:space="preserve"> Reduced length of stay was achieved, but the associated environmental impact was not acknowledged.</w:t>
      </w:r>
    </w:p>
    <w:p w14:paraId="65C4EBD9" w14:textId="77777777" w:rsidR="00A1297B" w:rsidRDefault="00A1297B" w:rsidP="00A1297B">
      <w:pPr>
        <w:numPr>
          <w:ilvl w:val="0"/>
          <w:numId w:val="15"/>
        </w:numPr>
        <w:tabs>
          <w:tab w:val="clear" w:pos="720"/>
          <w:tab w:val="num" w:pos="1080"/>
        </w:tabs>
        <w:spacing w:line="256" w:lineRule="auto"/>
        <w:ind w:left="1080"/>
      </w:pPr>
      <w:r>
        <w:rPr>
          <w:b/>
          <w:bCs/>
        </w:rPr>
        <w:t>Prevention/Reduction:</w:t>
      </w:r>
      <w:r>
        <w:t xml:space="preserve"> QIPs pertaining to inappropriate investigations (e.g., CT scans) and reducing unnecessary blood tests; these have an environmental impact that was not noted.</w:t>
      </w:r>
    </w:p>
    <w:p w14:paraId="4E98DB31" w14:textId="77777777" w:rsidR="00A1297B" w:rsidRDefault="00A1297B" w:rsidP="00A1297B">
      <w:pPr>
        <w:numPr>
          <w:ilvl w:val="0"/>
          <w:numId w:val="15"/>
        </w:numPr>
        <w:tabs>
          <w:tab w:val="clear" w:pos="720"/>
          <w:tab w:val="num" w:pos="1080"/>
        </w:tabs>
        <w:spacing w:line="256" w:lineRule="auto"/>
        <w:ind w:left="1080"/>
      </w:pPr>
      <w:r>
        <w:rPr>
          <w:b/>
          <w:bCs/>
        </w:rPr>
        <w:t>Low Carbon Alternatives:</w:t>
      </w:r>
      <w:r>
        <w:t xml:space="preserve"> Replacement of single-use items with reusable clinical items (e.g., kidney dishes, peak flow mouthpieces) and using PO medications instead of IV medications (e.g., paracetamol). In these cases, cost savings were identified, but the environmental impact was not.</w:t>
      </w:r>
    </w:p>
    <w:p w14:paraId="591DCE33" w14:textId="77777777" w:rsidR="00A1297B" w:rsidRDefault="00A1297B" w:rsidP="00A1297B"/>
    <w:p w14:paraId="677C6DD7" w14:textId="77777777" w:rsidR="00A1297B" w:rsidRDefault="00A1297B" w:rsidP="00A1297B">
      <w:r>
        <w:t xml:space="preserve">Of the six QIPs that identified specific environmental inclusion, no projects quantified the environmental savings. One project weighed clinical waste savings differentiated by waste type but did not quantify the CO2e savings associated with the reduction in clinical waste. </w:t>
      </w:r>
    </w:p>
    <w:p w14:paraId="2B8EBFDA" w14:textId="77777777" w:rsidR="00A1297B" w:rsidRDefault="00A1297B" w:rsidP="00A1297B">
      <w:pPr>
        <w:rPr>
          <w:b/>
          <w:bCs/>
        </w:rPr>
      </w:pPr>
    </w:p>
    <w:p w14:paraId="1E62D382" w14:textId="77777777" w:rsidR="00A1297B" w:rsidRDefault="00A1297B" w:rsidP="00A1297B">
      <w:pPr>
        <w:rPr>
          <w:b/>
          <w:bCs/>
        </w:rPr>
      </w:pPr>
      <w:r>
        <w:rPr>
          <w:b/>
          <w:bCs/>
        </w:rPr>
        <w:t>Stakeholder engagement to inform the problem statement</w:t>
      </w:r>
    </w:p>
    <w:p w14:paraId="5058D660" w14:textId="77777777" w:rsidR="00A1297B" w:rsidRDefault="00A1297B" w:rsidP="00A1297B">
      <w:pPr>
        <w:rPr>
          <w:bCs/>
        </w:rPr>
      </w:pPr>
      <w:r>
        <w:rPr>
          <w:bCs/>
        </w:rPr>
        <w:t xml:space="preserve">In order to gain a better understanding of the QIP process, motivations and barriers for the inclusion of environmental sustainability and understand the best practices nationally in this space, informal interviews, surveys, group interviews and forum discussions were used to contribute towards the problem statement development. </w:t>
      </w:r>
    </w:p>
    <w:p w14:paraId="7B250AE5" w14:textId="77777777" w:rsidR="00A1297B" w:rsidRDefault="00A1297B" w:rsidP="00A1297B">
      <w:pPr>
        <w:rPr>
          <w:bCs/>
        </w:rPr>
      </w:pPr>
    </w:p>
    <w:p w14:paraId="571FF438" w14:textId="77777777" w:rsidR="00A1297B" w:rsidRDefault="00A1297B" w:rsidP="00A1297B">
      <w:pPr>
        <w:ind w:left="720"/>
        <w:rPr>
          <w:b/>
          <w:bCs/>
        </w:rPr>
      </w:pPr>
      <w:r>
        <w:rPr>
          <w:b/>
          <w:bCs/>
        </w:rPr>
        <w:t xml:space="preserve">EKUHFT improvement team, survey and group interview. </w:t>
      </w:r>
    </w:p>
    <w:p w14:paraId="7FE8D9F0" w14:textId="77777777" w:rsidR="00CA4720" w:rsidRDefault="004E61DB" w:rsidP="00A1297B">
      <w:pPr>
        <w:ind w:left="720"/>
        <w:rPr>
          <w:bCs/>
        </w:rPr>
      </w:pPr>
      <w:r>
        <w:rPr>
          <w:bCs/>
        </w:rPr>
        <w:t>Ten</w:t>
      </w:r>
      <w:r w:rsidR="00A1297B">
        <w:rPr>
          <w:bCs/>
        </w:rPr>
        <w:t xml:space="preserve"> members of the improvement team completed a baseline survey assessing current practices, confidence and understanding of sustainable healthcare in quality improvement. Six participants participated in an informal group interview to explore their ideas and clarify </w:t>
      </w:r>
      <w:r w:rsidR="00A1297B">
        <w:rPr>
          <w:bCs/>
        </w:rPr>
        <w:lastRenderedPageBreak/>
        <w:t xml:space="preserve">current processes and practices. Participant roles included QI practitioner, Improvement programme manager, project support administrator and other roles. </w:t>
      </w:r>
      <w:r w:rsidR="00CA4720">
        <w:rPr>
          <w:bCs/>
        </w:rPr>
        <w:t xml:space="preserve">Five-point Likert scales were used to assess understanding confidence and converted to </w:t>
      </w:r>
      <w:r>
        <w:rPr>
          <w:bCs/>
        </w:rPr>
        <w:t>three-point</w:t>
      </w:r>
      <w:r w:rsidR="00CA4720">
        <w:rPr>
          <w:bCs/>
        </w:rPr>
        <w:t xml:space="preserve"> grouping: strongly confident (4 or 5), moderately confidence (3) and not confidence (1 or 2). 40</w:t>
      </w:r>
      <w:r w:rsidR="006259A6">
        <w:rPr>
          <w:bCs/>
        </w:rPr>
        <w:t xml:space="preserve">% of participants indicated </w:t>
      </w:r>
      <w:r w:rsidR="00CA4720">
        <w:rPr>
          <w:bCs/>
        </w:rPr>
        <w:t xml:space="preserve">they were strongly confident with financial sustainability while only 10% indicated they were strongly confidence with environmental sustainability. Of the three domains of sustainability (social, environmental and financial), the improvement team had the least confidence supporting the inclusion of social sustainability into the projects they mentor (60% not confidence). Regarding technical skills of calculating a carbon footprint of an intervention 90% of the participants reported that they were not confident supporting project leads to do this. </w:t>
      </w:r>
    </w:p>
    <w:p w14:paraId="22FDC4F9" w14:textId="77777777" w:rsidR="000A1927" w:rsidRDefault="000A1927" w:rsidP="00A1297B">
      <w:pPr>
        <w:ind w:left="720"/>
        <w:rPr>
          <w:bCs/>
        </w:rPr>
      </w:pPr>
    </w:p>
    <w:p w14:paraId="7C7A56CD" w14:textId="77777777" w:rsidR="000A1927" w:rsidRPr="000A1927" w:rsidRDefault="000A1927" w:rsidP="00A1297B">
      <w:pPr>
        <w:ind w:left="720"/>
        <w:rPr>
          <w:b/>
          <w:bCs/>
        </w:rPr>
      </w:pPr>
      <w:r w:rsidRPr="000A1927">
        <w:rPr>
          <w:b/>
          <w:bCs/>
        </w:rPr>
        <w:t>Figure X.</w:t>
      </w:r>
      <w:r>
        <w:rPr>
          <w:b/>
          <w:bCs/>
        </w:rPr>
        <w:t xml:space="preserve"> Confidence of Improvement Team Staff on supporting the integration of the following concepts into their mentoring practices. </w:t>
      </w:r>
      <w:r w:rsidRPr="000A1927">
        <w:rPr>
          <w:b/>
          <w:bCs/>
        </w:rPr>
        <w:t xml:space="preserve"> </w:t>
      </w:r>
    </w:p>
    <w:p w14:paraId="7C60E836" w14:textId="77777777" w:rsidR="000A1927" w:rsidRDefault="000A1927" w:rsidP="00A1297B">
      <w:pPr>
        <w:ind w:left="720"/>
        <w:rPr>
          <w:bCs/>
        </w:rPr>
      </w:pPr>
      <w:r w:rsidRPr="00FA7191">
        <w:rPr>
          <w:noProof/>
        </w:rPr>
        <w:drawing>
          <wp:inline distT="0" distB="0" distL="0" distR="0" wp14:anchorId="224EA781" wp14:editId="3E7CC16D">
            <wp:extent cx="4519481" cy="1890522"/>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t="13403"/>
                    <a:stretch/>
                  </pic:blipFill>
                  <pic:spPr bwMode="auto">
                    <a:xfrm>
                      <a:off x="0" y="0"/>
                      <a:ext cx="4549923" cy="1903256"/>
                    </a:xfrm>
                    <a:prstGeom prst="rect">
                      <a:avLst/>
                    </a:prstGeom>
                    <a:ln>
                      <a:noFill/>
                    </a:ln>
                    <a:extLst>
                      <a:ext uri="{53640926-AAD7-44D8-BBD7-CCE9431645EC}">
                        <a14:shadowObscured xmlns:a14="http://schemas.microsoft.com/office/drawing/2010/main"/>
                      </a:ext>
                    </a:extLst>
                  </pic:spPr>
                </pic:pic>
              </a:graphicData>
            </a:graphic>
          </wp:inline>
        </w:drawing>
      </w:r>
    </w:p>
    <w:p w14:paraId="2CB9557B" w14:textId="77777777" w:rsidR="00CA4720" w:rsidRDefault="00CA4720" w:rsidP="00A1297B">
      <w:pPr>
        <w:ind w:left="720"/>
        <w:rPr>
          <w:bCs/>
        </w:rPr>
      </w:pPr>
    </w:p>
    <w:p w14:paraId="5D111EE2" w14:textId="77777777" w:rsidR="00A1297B" w:rsidRDefault="00CA4720" w:rsidP="00A1297B">
      <w:pPr>
        <w:ind w:left="720"/>
        <w:rPr>
          <w:bCs/>
        </w:rPr>
      </w:pPr>
      <w:r>
        <w:rPr>
          <w:bCs/>
        </w:rPr>
        <w:t xml:space="preserve">When ask to rank what potential interventions may be beneficial for improving the inclusion of environmental sustainability within QIP, the most popular option was a SusQI implementation checklist (8 votes), 1-hour introduction to SusQI lecture (7 votes) and a Written guide/toolkit (6 votes). </w:t>
      </w:r>
    </w:p>
    <w:p w14:paraId="74DA9DB7" w14:textId="77777777" w:rsidR="00CA4720" w:rsidRDefault="00CA4720" w:rsidP="00A1297B">
      <w:pPr>
        <w:ind w:left="720"/>
        <w:rPr>
          <w:bCs/>
        </w:rPr>
      </w:pPr>
    </w:p>
    <w:p w14:paraId="01E1589D" w14:textId="77777777" w:rsidR="0009455C" w:rsidRDefault="00CA4720" w:rsidP="00A1297B">
      <w:pPr>
        <w:ind w:left="720"/>
        <w:rPr>
          <w:bCs/>
        </w:rPr>
      </w:pPr>
      <w:r>
        <w:rPr>
          <w:bCs/>
        </w:rPr>
        <w:t>Informal group interview identified that simple, low-effort interventions would be the most effective and the team expressed the concern that they lack the current technical knowledge on calculating carbon footprints</w:t>
      </w:r>
      <w:r w:rsidR="0009455C">
        <w:rPr>
          <w:bCs/>
        </w:rPr>
        <w:t xml:space="preserve">. Additionally, contrary to the initial scoping exercise identifying the Improvement teams as key influencers over all QIP work, participants discussed the limitation that many project leads act independently without support and there is limited opportunity for QIP mentors to influence the project if the project leads don’t register their projects until project completion. They also identified that the improvements team work includes a much broader scope than just quality improvement and that there were significant opportunities to integrate this into other work and training such as their Medilead project management training programme. </w:t>
      </w:r>
    </w:p>
    <w:p w14:paraId="3D113E80" w14:textId="77777777" w:rsidR="0009455C" w:rsidRDefault="0009455C" w:rsidP="00A1297B">
      <w:pPr>
        <w:ind w:left="720"/>
        <w:rPr>
          <w:bCs/>
        </w:rPr>
      </w:pPr>
    </w:p>
    <w:p w14:paraId="59978892" w14:textId="77777777" w:rsidR="0009455C" w:rsidRDefault="0009455C" w:rsidP="00A1297B">
      <w:pPr>
        <w:ind w:left="720"/>
        <w:rPr>
          <w:b/>
          <w:bCs/>
        </w:rPr>
      </w:pPr>
      <w:r>
        <w:rPr>
          <w:b/>
          <w:bCs/>
        </w:rPr>
        <w:t xml:space="preserve">Project leads: SusQI completed at EKUHFT. </w:t>
      </w:r>
    </w:p>
    <w:p w14:paraId="255F323E" w14:textId="77777777" w:rsidR="0009455C" w:rsidRPr="0009455C" w:rsidRDefault="0009455C" w:rsidP="00A1297B">
      <w:pPr>
        <w:ind w:left="720"/>
        <w:rPr>
          <w:bCs/>
        </w:rPr>
      </w:pPr>
      <w:r>
        <w:rPr>
          <w:bCs/>
        </w:rPr>
        <w:t xml:space="preserve">Using the baseline audit to identify projects where environmental sustainability had been explicitly discussed, project leads were invited to participate in informal interviews to discuss their experiences, challenges and opportunities for improving the inclusion of environmental sustainability in QIP at the trust. Key findings from this process identified challenges acting on projects across domains of trust operations, finding it difficult to coordinate estate and </w:t>
      </w:r>
      <w:r>
        <w:rPr>
          <w:bCs/>
        </w:rPr>
        <w:lastRenderedPageBreak/>
        <w:t xml:space="preserve">clinical working streams. Additionally, this process identified that there was very limited support or motivation from the institution to incentivise SusQI and was currently only limited to individual with strong personal motivations. </w:t>
      </w:r>
    </w:p>
    <w:p w14:paraId="501728E6" w14:textId="77777777" w:rsidR="0009455C" w:rsidRDefault="0009455C" w:rsidP="00A1297B">
      <w:pPr>
        <w:ind w:left="720"/>
        <w:rPr>
          <w:bCs/>
        </w:rPr>
      </w:pPr>
    </w:p>
    <w:p w14:paraId="2388D81F" w14:textId="77777777" w:rsidR="00620A77" w:rsidRDefault="00620A77" w:rsidP="00A1297B">
      <w:pPr>
        <w:ind w:left="720"/>
        <w:rPr>
          <w:b/>
          <w:bCs/>
        </w:rPr>
      </w:pPr>
      <w:r>
        <w:rPr>
          <w:b/>
          <w:bCs/>
        </w:rPr>
        <w:t xml:space="preserve">Foundation Doctor Trainees: Enhance Curriculum Recipients. </w:t>
      </w:r>
    </w:p>
    <w:p w14:paraId="53D7EB90" w14:textId="77777777" w:rsidR="00620A77" w:rsidRPr="00620A77" w:rsidRDefault="00620A77" w:rsidP="00A1297B">
      <w:pPr>
        <w:ind w:left="720"/>
        <w:rPr>
          <w:bCs/>
        </w:rPr>
      </w:pPr>
      <w:r>
        <w:rPr>
          <w:bCs/>
        </w:rPr>
        <w:t xml:space="preserve">Work completed within EKUHFT’s Medical Education department has previously delivered training for foundation trainees on sustainable quality improvement and surveyed trainees to gain an understanding of their motivation to implement practice and understanding SusQI. This work indicated 90% of trainees were comfortable considering the social, financial and environmental impacts of quality improvement. </w:t>
      </w:r>
      <w:r w:rsidR="000A1927">
        <w:rPr>
          <w:bCs/>
        </w:rPr>
        <w:t xml:space="preserve">(Reference – Joe’s QIP success form?) </w:t>
      </w:r>
    </w:p>
    <w:p w14:paraId="1D74C609" w14:textId="77777777" w:rsidR="00620A77" w:rsidRDefault="00620A77" w:rsidP="00A1297B">
      <w:pPr>
        <w:ind w:left="720"/>
        <w:rPr>
          <w:b/>
          <w:bCs/>
        </w:rPr>
      </w:pPr>
    </w:p>
    <w:p w14:paraId="23DE0F21" w14:textId="77777777" w:rsidR="00953F32" w:rsidRDefault="00953F32" w:rsidP="00A1297B">
      <w:pPr>
        <w:ind w:left="720"/>
        <w:rPr>
          <w:b/>
          <w:bCs/>
        </w:rPr>
      </w:pPr>
      <w:r>
        <w:rPr>
          <w:b/>
          <w:bCs/>
        </w:rPr>
        <w:t xml:space="preserve">Centre for Sustainable Healthcare: SusQI forum. </w:t>
      </w:r>
    </w:p>
    <w:p w14:paraId="18F71FE2" w14:textId="77777777" w:rsidR="00953F32" w:rsidRPr="00953F32" w:rsidRDefault="00953F32" w:rsidP="00A1297B">
      <w:pPr>
        <w:ind w:left="720"/>
        <w:rPr>
          <w:bCs/>
        </w:rPr>
      </w:pPr>
      <w:r>
        <w:rPr>
          <w:bCs/>
        </w:rPr>
        <w:t xml:space="preserve">The Centre for the Sustainable Healthcare is a UK based </w:t>
      </w:r>
      <w:r w:rsidR="00620A77">
        <w:rPr>
          <w:bCs/>
        </w:rPr>
        <w:t>charitable</w:t>
      </w:r>
      <w:r>
        <w:rPr>
          <w:bCs/>
        </w:rPr>
        <w:t xml:space="preserve"> organisation that serves as the hub for SusQI in the UK (</w:t>
      </w:r>
      <w:hyperlink r:id="rId20" w:history="1">
        <w:r w:rsidRPr="00953F32">
          <w:rPr>
            <w:rStyle w:val="Hyperlink"/>
            <w:bCs/>
          </w:rPr>
          <w:t>CSH</w:t>
        </w:r>
      </w:hyperlink>
      <w:r>
        <w:rPr>
          <w:bCs/>
        </w:rPr>
        <w:t xml:space="preserve">). Included in their offerings are networks for healthcare professionals to connect and share SusQI work. In order to gain an understanding of how other trusts have integrated SusQI into their QIP structures, a post was </w:t>
      </w:r>
      <w:r w:rsidR="00620A77">
        <w:rPr>
          <w:bCs/>
        </w:rPr>
        <w:t xml:space="preserve">added to the Sustainable Healthcare Community hub asking for input from the community. Key findings from this process included highlighting SusQI training resources for project leads, using events/awards to celebrate good SusQI practice, integrated sustainability into formal trust QI methodology processes. </w:t>
      </w:r>
    </w:p>
    <w:p w14:paraId="5B8EF219" w14:textId="77777777" w:rsidR="00A1297B" w:rsidRDefault="00A1297B" w:rsidP="00A1297B">
      <w:pPr>
        <w:rPr>
          <w:b/>
        </w:rPr>
      </w:pPr>
    </w:p>
    <w:p w14:paraId="15EA907C" w14:textId="77777777" w:rsidR="00620A77" w:rsidRDefault="00620A77" w:rsidP="00620A77">
      <w:r>
        <w:t xml:space="preserve">Following the baseline audit, stakeholder engagement and key informant interview, a problem statement was drafted to inform the direction and development of the interventions. </w:t>
      </w:r>
    </w:p>
    <w:p w14:paraId="62B5B1FF" w14:textId="77777777" w:rsidR="00620A77" w:rsidRDefault="00620A77" w:rsidP="00620A77"/>
    <w:p w14:paraId="6F7A7261" w14:textId="77777777" w:rsidR="00620A77" w:rsidRPr="00620A77" w:rsidRDefault="00620A77" w:rsidP="00620A77">
      <w:pPr>
        <w:pStyle w:val="Heading3"/>
      </w:pPr>
      <w:bookmarkStart w:id="3" w:name="_Toc227022450"/>
      <w:r w:rsidRPr="00765114">
        <w:t>Problem statement</w:t>
      </w:r>
      <w:bookmarkEnd w:id="3"/>
    </w:p>
    <w:p w14:paraId="4782DEE9" w14:textId="77777777" w:rsidR="00620A77" w:rsidRDefault="00620A77" w:rsidP="00620A77">
      <w:r w:rsidRPr="0073522D">
        <w:t xml:space="preserve">Despite mandatory Net Zero NHS targets, </w:t>
      </w:r>
      <w:r>
        <w:t xml:space="preserve">professional obligations, </w:t>
      </w:r>
      <w:r w:rsidR="004E61DB">
        <w:t>t</w:t>
      </w:r>
      <w:r w:rsidRPr="0073522D">
        <w:t>rainee readiness and inclusion in Enhance Foundation Programme curriculum, environmental sustainability is current only included in a minority of Quality Improvement Projects at EKHUFT. Consequently, current QIPs fail to identify carbon-reduction opportunities, resulting in missed potential contribute to the Trusts Green Plan targets.</w:t>
      </w:r>
    </w:p>
    <w:p w14:paraId="02AE6B3D" w14:textId="77777777" w:rsidR="00620A77" w:rsidRDefault="00620A77" w:rsidP="00E94D15">
      <w:pPr>
        <w:rPr>
          <w:b/>
        </w:rPr>
      </w:pPr>
    </w:p>
    <w:p w14:paraId="7854A76C" w14:textId="77777777" w:rsidR="00E94D15" w:rsidRDefault="00E94D15" w:rsidP="00E94D15">
      <w:pPr>
        <w:rPr>
          <w:b/>
        </w:rPr>
      </w:pPr>
      <w:r w:rsidRPr="00E94D15">
        <w:rPr>
          <w:b/>
        </w:rPr>
        <w:t>Ensuring the problem gets solved</w:t>
      </w:r>
    </w:p>
    <w:p w14:paraId="62A7D724" w14:textId="77777777" w:rsidR="003C4A33" w:rsidRDefault="00362195" w:rsidP="00E94D15">
      <w:r>
        <w:t xml:space="preserve">Success for this project is defined </w:t>
      </w:r>
      <w:r w:rsidR="003C4A33">
        <w:t xml:space="preserve">through three key performance indicators: </w:t>
      </w:r>
    </w:p>
    <w:p w14:paraId="5BF5690D" w14:textId="77777777" w:rsidR="003C4A33" w:rsidRDefault="003C4A33" w:rsidP="003C4A33">
      <w:pPr>
        <w:pStyle w:val="ListParagraph"/>
        <w:numPr>
          <w:ilvl w:val="0"/>
          <w:numId w:val="16"/>
        </w:numPr>
      </w:pPr>
      <w:r>
        <w:t>EKUHFT</w:t>
      </w:r>
      <w:r w:rsidR="00362195">
        <w:t xml:space="preserve"> </w:t>
      </w:r>
      <w:r>
        <w:t>Improvement Team staff</w:t>
      </w:r>
      <w:r w:rsidR="00362195">
        <w:t xml:space="preserve"> are </w:t>
      </w:r>
      <w:r>
        <w:t>empowered</w:t>
      </w:r>
      <w:r w:rsidR="00362195">
        <w:t xml:space="preserve"> and supported to </w:t>
      </w:r>
      <w:r>
        <w:t>encourage the inclusion of</w:t>
      </w:r>
      <w:r w:rsidR="00362195">
        <w:t xml:space="preserve"> environmental sustainability in quality improvement work, </w:t>
      </w:r>
    </w:p>
    <w:p w14:paraId="70CC03EB" w14:textId="77777777" w:rsidR="003C4A33" w:rsidRDefault="003C4A33" w:rsidP="003C4A33">
      <w:pPr>
        <w:pStyle w:val="ListParagraph"/>
        <w:numPr>
          <w:ilvl w:val="0"/>
          <w:numId w:val="16"/>
        </w:numPr>
      </w:pPr>
      <w:r>
        <w:t>measured</w:t>
      </w:r>
      <w:r w:rsidR="00362195">
        <w:t xml:space="preserve"> increase in confidence of</w:t>
      </w:r>
      <w:r>
        <w:t xml:space="preserve"> Improvement Team staff</w:t>
      </w:r>
      <w:r w:rsidR="00362195">
        <w:t xml:space="preserve"> to promote and support environmental sustainability </w:t>
      </w:r>
      <w:r>
        <w:t>within their projects and projects they are mentoring</w:t>
      </w:r>
      <w:r w:rsidR="00362195">
        <w:t xml:space="preserve"> and</w:t>
      </w:r>
      <w:r>
        <w:t xml:space="preserve">, </w:t>
      </w:r>
      <w:r w:rsidR="00362195">
        <w:t xml:space="preserve">  </w:t>
      </w:r>
    </w:p>
    <w:p w14:paraId="5DBF334C" w14:textId="77777777" w:rsidR="00E94D15" w:rsidRDefault="00362195" w:rsidP="003C4A33">
      <w:pPr>
        <w:pStyle w:val="ListParagraph"/>
        <w:numPr>
          <w:ilvl w:val="0"/>
          <w:numId w:val="16"/>
        </w:numPr>
      </w:pPr>
      <w:r>
        <w:t>an increase in the proportion of completed QIPs incorporating environmental sustainability into quality improvement (</w:t>
      </w:r>
      <w:r w:rsidR="003C4A33">
        <w:t>long term goal, outside the scope of this current timeline)</w:t>
      </w:r>
      <w:r>
        <w:t xml:space="preserve">. </w:t>
      </w:r>
    </w:p>
    <w:p w14:paraId="0B1FDE3A" w14:textId="77777777" w:rsidR="00362195" w:rsidRPr="00362195" w:rsidRDefault="00362195" w:rsidP="00E94D15"/>
    <w:p w14:paraId="609D14F6" w14:textId="77777777" w:rsidR="00C30F23" w:rsidRDefault="00C30F23" w:rsidP="00C30F23">
      <w:pPr>
        <w:rPr>
          <w:b/>
        </w:rPr>
      </w:pPr>
      <w:r>
        <w:rPr>
          <w:b/>
        </w:rPr>
        <w:t xml:space="preserve">Engaging stakeholders: </w:t>
      </w:r>
    </w:p>
    <w:p w14:paraId="0539FC8F" w14:textId="77777777" w:rsidR="00C30F23" w:rsidRDefault="00C30F23" w:rsidP="00C30F23">
      <w:r>
        <w:t>Key players include Head of Improvement</w:t>
      </w:r>
      <w:r w:rsidR="003C4A33">
        <w:t xml:space="preserve">, who has </w:t>
      </w:r>
      <w:r>
        <w:t xml:space="preserve">high influence over </w:t>
      </w:r>
      <w:r w:rsidR="003C4A33">
        <w:t>Improvement Team staff</w:t>
      </w:r>
      <w:r>
        <w:t xml:space="preserve"> mentors, setting department priorities and goals. </w:t>
      </w:r>
      <w:r w:rsidR="003C4A33">
        <w:t>Improvement team staff,</w:t>
      </w:r>
      <w:r>
        <w:t xml:space="preserve"> key players directly involved in QIP registration and mentoring. </w:t>
      </w:r>
      <w:r w:rsidR="003C4A33">
        <w:t xml:space="preserve">Additional stakeholders include EKUHFT Medical Education team as this project supports change practice following delivered curriculum material on SusQI. </w:t>
      </w:r>
    </w:p>
    <w:p w14:paraId="1C9AAF9A" w14:textId="77777777" w:rsidR="00C30F23" w:rsidRDefault="00C30F23" w:rsidP="00C30F23"/>
    <w:p w14:paraId="754F5C84" w14:textId="77777777" w:rsidR="0023582F" w:rsidRDefault="005060C9" w:rsidP="00C30F23">
      <w:r w:rsidRPr="005060C9">
        <w:rPr>
          <w:noProof/>
        </w:rPr>
        <w:drawing>
          <wp:inline distT="0" distB="0" distL="0" distR="0" wp14:anchorId="7CA2A322" wp14:editId="7EC5A4E2">
            <wp:extent cx="5731510" cy="3084195"/>
            <wp:effectExtent l="0" t="0" r="254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731510" cy="3084195"/>
                    </a:xfrm>
                    <a:prstGeom prst="rect">
                      <a:avLst/>
                    </a:prstGeom>
                  </pic:spPr>
                </pic:pic>
              </a:graphicData>
            </a:graphic>
          </wp:inline>
        </w:drawing>
      </w:r>
    </w:p>
    <w:p w14:paraId="009D2F4A" w14:textId="77777777" w:rsidR="001472C2" w:rsidRDefault="001472C2" w:rsidP="001472C2">
      <w:pPr>
        <w:pStyle w:val="Heading3"/>
      </w:pPr>
      <w:bookmarkStart w:id="4" w:name="_Toc227022451"/>
      <w:r>
        <w:t>Designing the intervention</w:t>
      </w:r>
      <w:bookmarkEnd w:id="4"/>
    </w:p>
    <w:p w14:paraId="292BDC9C" w14:textId="77777777" w:rsidR="001472C2" w:rsidRDefault="001472C2" w:rsidP="001472C2">
      <w:r>
        <w:t xml:space="preserve">Following stakeholder engagement and review of currently available materials two interventions were developed to address the identified issues: i) delivery of 1-hour workshop, introduction to sustainability in quality improvement and ii) Interactive QIP registration triage checklist. </w:t>
      </w:r>
    </w:p>
    <w:p w14:paraId="12BB2564" w14:textId="77777777" w:rsidR="001472C2" w:rsidRPr="001472C2" w:rsidRDefault="001472C2" w:rsidP="001472C2">
      <w:pPr>
        <w:rPr>
          <w:b/>
        </w:rPr>
      </w:pPr>
    </w:p>
    <w:p w14:paraId="30962EB4" w14:textId="77777777" w:rsidR="001472C2" w:rsidRPr="001472C2" w:rsidRDefault="001472C2" w:rsidP="001472C2">
      <w:pPr>
        <w:pStyle w:val="ListParagraph"/>
        <w:numPr>
          <w:ilvl w:val="0"/>
          <w:numId w:val="17"/>
        </w:numPr>
        <w:rPr>
          <w:b/>
        </w:rPr>
      </w:pPr>
      <w:r w:rsidRPr="001472C2">
        <w:rPr>
          <w:b/>
        </w:rPr>
        <w:t>Delivery of a 1-hour workshop</w:t>
      </w:r>
    </w:p>
    <w:p w14:paraId="0C8A8885" w14:textId="77777777" w:rsidR="001472C2" w:rsidRDefault="001472C2" w:rsidP="001472C2">
      <w:pPr>
        <w:pStyle w:val="ListParagraph"/>
        <w:ind w:left="1080"/>
      </w:pPr>
      <w:r>
        <w:t xml:space="preserve">A 1-hour workshop was delivered to 10 members of EKUHFT’s Improvements Team. The sessions outlined sustainable healthcare, the legal and professional obligations of including sustainable healthcare in clinical practice and introduced the Centre for Sustainable Healthcare Quality Improvement Framework (SusQI). A short follow up survey was completed to identify any changes in practitioner confidence integrating sustainability into their quality improvement practices. </w:t>
      </w:r>
    </w:p>
    <w:p w14:paraId="39A41F56" w14:textId="77777777" w:rsidR="001472C2" w:rsidRDefault="001472C2" w:rsidP="001472C2">
      <w:pPr>
        <w:pStyle w:val="ListParagraph"/>
        <w:ind w:left="1080"/>
      </w:pPr>
    </w:p>
    <w:p w14:paraId="6852ED3C" w14:textId="77777777" w:rsidR="001472C2" w:rsidRPr="001472C2" w:rsidRDefault="001472C2" w:rsidP="001472C2">
      <w:pPr>
        <w:pStyle w:val="ListParagraph"/>
        <w:numPr>
          <w:ilvl w:val="0"/>
          <w:numId w:val="17"/>
        </w:numPr>
      </w:pPr>
      <w:r>
        <w:rPr>
          <w:b/>
        </w:rPr>
        <w:t xml:space="preserve">Development of an interactive tool for triaging new registrations of quality improvement projects for the inclusion of sustainable healthcare. </w:t>
      </w:r>
    </w:p>
    <w:p w14:paraId="506407DD" w14:textId="77777777" w:rsidR="006163D6" w:rsidRDefault="001472C2" w:rsidP="001472C2">
      <w:pPr>
        <w:pStyle w:val="ListParagraph"/>
        <w:ind w:left="1080"/>
      </w:pPr>
      <w:r>
        <w:t>Following identification of the missed opportunities in current quality improvement work to identify the environmental impacts (17% of completed QIP), and the identified training need of the Improvement practitioners for a simple easy to use tool that will prompt and support practitioners to engage project leads in sustainable quality improvement</w:t>
      </w:r>
      <w:r w:rsidR="006163D6">
        <w:t xml:space="preserve">, an interactive pdf tool was developed to allow easy identification and integration of sustainable healthcare. </w:t>
      </w:r>
    </w:p>
    <w:p w14:paraId="288E86CC" w14:textId="77777777" w:rsidR="006163D6" w:rsidRDefault="006163D6" w:rsidP="001472C2">
      <w:pPr>
        <w:pStyle w:val="ListParagraph"/>
        <w:ind w:left="1080"/>
      </w:pPr>
    </w:p>
    <w:p w14:paraId="7ED60DF5" w14:textId="77777777" w:rsidR="006163D6" w:rsidRDefault="006163D6" w:rsidP="001472C2">
      <w:pPr>
        <w:pStyle w:val="ListParagraph"/>
        <w:ind w:left="1080"/>
      </w:pPr>
      <w:r>
        <w:t xml:space="preserve">The interactive PDF takes participants through four short questions to identify the potential opportunities for inclusion of environmental sustainability. Figure X outlines this checklist and a full copy is available in appendix X. </w:t>
      </w:r>
    </w:p>
    <w:p w14:paraId="74E265A3" w14:textId="77777777" w:rsidR="006163D6" w:rsidRDefault="006163D6" w:rsidP="001472C2">
      <w:pPr>
        <w:pStyle w:val="ListParagraph"/>
        <w:ind w:left="1080"/>
      </w:pPr>
    </w:p>
    <w:p w14:paraId="2C62252A" w14:textId="77777777" w:rsidR="006163D6" w:rsidRDefault="006163D6" w:rsidP="001472C2">
      <w:pPr>
        <w:pStyle w:val="ListParagraph"/>
        <w:ind w:left="1080"/>
      </w:pPr>
    </w:p>
    <w:p w14:paraId="4C3874FA" w14:textId="77777777" w:rsidR="001472C2" w:rsidRPr="001472C2" w:rsidRDefault="001472C2" w:rsidP="001472C2">
      <w:pPr>
        <w:pStyle w:val="ListParagraph"/>
        <w:ind w:left="1080"/>
      </w:pPr>
      <w:r>
        <w:t xml:space="preserve">  </w:t>
      </w:r>
    </w:p>
    <w:p w14:paraId="2CEC87EB" w14:textId="77777777" w:rsidR="001472C2" w:rsidRDefault="001472C2" w:rsidP="001472C2">
      <w:pPr>
        <w:pStyle w:val="ListParagraph"/>
        <w:ind w:left="1080"/>
      </w:pPr>
    </w:p>
    <w:p w14:paraId="092707D5" w14:textId="77777777" w:rsidR="006163D6" w:rsidRPr="006163D6" w:rsidRDefault="006163D6" w:rsidP="001472C2">
      <w:pPr>
        <w:rPr>
          <w:b/>
        </w:rPr>
      </w:pPr>
      <w:r>
        <w:rPr>
          <w:b/>
        </w:rPr>
        <w:lastRenderedPageBreak/>
        <w:t xml:space="preserve">Figure X – Interactive Registration Triage Checklist </w:t>
      </w:r>
    </w:p>
    <w:p w14:paraId="39643877" w14:textId="77777777" w:rsidR="001472C2" w:rsidRDefault="006163D6" w:rsidP="001472C2">
      <w:r w:rsidRPr="006163D6">
        <w:rPr>
          <w:noProof/>
        </w:rPr>
        <w:drawing>
          <wp:inline distT="0" distB="0" distL="0" distR="0" wp14:anchorId="637A41B8" wp14:editId="348B71E2">
            <wp:extent cx="1945371" cy="2830982"/>
            <wp:effectExtent l="0" t="0" r="0" b="762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1981085" cy="2882954"/>
                    </a:xfrm>
                    <a:prstGeom prst="rect">
                      <a:avLst/>
                    </a:prstGeom>
                  </pic:spPr>
                </pic:pic>
              </a:graphicData>
            </a:graphic>
          </wp:inline>
        </w:drawing>
      </w:r>
      <w:r w:rsidRPr="006163D6">
        <w:rPr>
          <w:noProof/>
        </w:rPr>
        <w:drawing>
          <wp:inline distT="0" distB="0" distL="0" distR="0" wp14:anchorId="41480D6B" wp14:editId="0437A322">
            <wp:extent cx="1945005" cy="2811057"/>
            <wp:effectExtent l="0" t="0" r="0" b="889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1972315" cy="2850528"/>
                    </a:xfrm>
                    <a:prstGeom prst="rect">
                      <a:avLst/>
                    </a:prstGeom>
                  </pic:spPr>
                </pic:pic>
              </a:graphicData>
            </a:graphic>
          </wp:inline>
        </w:drawing>
      </w:r>
    </w:p>
    <w:p w14:paraId="54D70F03" w14:textId="77777777" w:rsidR="006163D6" w:rsidRDefault="006163D6" w:rsidP="003C4A33">
      <w:pPr>
        <w:spacing w:after="160"/>
      </w:pPr>
      <w:r w:rsidRPr="006163D6">
        <w:rPr>
          <w:noProof/>
        </w:rPr>
        <w:drawing>
          <wp:inline distT="0" distB="0" distL="0" distR="0" wp14:anchorId="4734E558" wp14:editId="7C42117E">
            <wp:extent cx="1933165" cy="2787091"/>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951355" cy="2813316"/>
                    </a:xfrm>
                    <a:prstGeom prst="rect">
                      <a:avLst/>
                    </a:prstGeom>
                  </pic:spPr>
                </pic:pic>
              </a:graphicData>
            </a:graphic>
          </wp:inline>
        </w:drawing>
      </w:r>
      <w:r w:rsidRPr="006163D6">
        <w:rPr>
          <w:noProof/>
        </w:rPr>
        <w:drawing>
          <wp:inline distT="0" distB="0" distL="0" distR="0" wp14:anchorId="113C8C81" wp14:editId="008F6BD0">
            <wp:extent cx="1956537" cy="2801710"/>
            <wp:effectExtent l="0" t="0" r="571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1992082" cy="2852609"/>
                    </a:xfrm>
                    <a:prstGeom prst="rect">
                      <a:avLst/>
                    </a:prstGeom>
                  </pic:spPr>
                </pic:pic>
              </a:graphicData>
            </a:graphic>
          </wp:inline>
        </w:drawing>
      </w:r>
      <w:r w:rsidRPr="006163D6">
        <w:rPr>
          <w:noProof/>
        </w:rPr>
        <w:drawing>
          <wp:inline distT="0" distB="0" distL="0" distR="0" wp14:anchorId="46D6E1EB" wp14:editId="3CA5BC4E">
            <wp:extent cx="1925271" cy="272857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1929140" cy="2734054"/>
                    </a:xfrm>
                    <a:prstGeom prst="rect">
                      <a:avLst/>
                    </a:prstGeom>
                  </pic:spPr>
                </pic:pic>
              </a:graphicData>
            </a:graphic>
          </wp:inline>
        </w:drawing>
      </w:r>
      <w:r w:rsidRPr="006163D6">
        <w:rPr>
          <w:noProof/>
        </w:rPr>
        <w:drawing>
          <wp:inline distT="0" distB="0" distL="0" distR="0" wp14:anchorId="1B405199" wp14:editId="745A7AB4">
            <wp:extent cx="2049709" cy="2955341"/>
            <wp:effectExtent l="0" t="0" r="825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073453" cy="2989575"/>
                    </a:xfrm>
                    <a:prstGeom prst="rect">
                      <a:avLst/>
                    </a:prstGeom>
                  </pic:spPr>
                </pic:pic>
              </a:graphicData>
            </a:graphic>
          </wp:inline>
        </w:drawing>
      </w:r>
    </w:p>
    <w:p w14:paraId="5967C180" w14:textId="77777777" w:rsidR="00211081" w:rsidRDefault="006163D6" w:rsidP="003C4A33">
      <w:pPr>
        <w:spacing w:after="160"/>
      </w:pPr>
      <w:r>
        <w:lastRenderedPageBreak/>
        <w:t xml:space="preserve">The interactive checklist was introduced to the Improvement Team Practitioners at a whole team meeting where they had the opportunity to work through the checklist using examples identified from the baseline audit where </w:t>
      </w:r>
      <w:r w:rsidR="00211081">
        <w:t>QIPs</w:t>
      </w:r>
      <w:r>
        <w:t xml:space="preserve"> had missed the opportunity </w:t>
      </w:r>
      <w:r w:rsidR="00211081">
        <w:t xml:space="preserve">to introduce environmental sustainability. Feedback was collected from informal group feedback and practitioners also had the opportunity to provide written feedback back via an anonymous survey. </w:t>
      </w:r>
    </w:p>
    <w:p w14:paraId="7C773C6A" w14:textId="77777777" w:rsidR="00211081" w:rsidRDefault="00211081" w:rsidP="00211081">
      <w:pPr>
        <w:pStyle w:val="Heading3"/>
      </w:pPr>
      <w:r>
        <w:br/>
      </w:r>
      <w:bookmarkStart w:id="5" w:name="_Toc227022452"/>
      <w:r>
        <w:t>Results</w:t>
      </w:r>
      <w:bookmarkEnd w:id="5"/>
      <w:r>
        <w:t xml:space="preserve"> </w:t>
      </w:r>
    </w:p>
    <w:p w14:paraId="0555A473" w14:textId="77777777" w:rsidR="00211081" w:rsidRDefault="00211081" w:rsidP="00211081">
      <w:r>
        <w:t xml:space="preserve">In order to evaluate the designed interventions, an anonymous survey was used to identify the pre-post changes in confidence integrating sustainable healthcare into quality improvement and whether the proposed interventions would change practice. Additionally, informal feedback was collected during an Improvements Team meeting on the new triage checklist. </w:t>
      </w:r>
    </w:p>
    <w:p w14:paraId="41927F82" w14:textId="77777777" w:rsidR="00211081" w:rsidRDefault="00211081" w:rsidP="00211081"/>
    <w:p w14:paraId="2C326CC1" w14:textId="77777777" w:rsidR="00211081" w:rsidRDefault="00211081" w:rsidP="00211081">
      <w:pPr>
        <w:rPr>
          <w:b/>
        </w:rPr>
      </w:pPr>
      <w:r>
        <w:rPr>
          <w:b/>
        </w:rPr>
        <w:t xml:space="preserve">Survey results </w:t>
      </w:r>
    </w:p>
    <w:p w14:paraId="2582E961" w14:textId="77777777" w:rsidR="00211081" w:rsidRPr="00211081" w:rsidRDefault="00211081" w:rsidP="00211081">
      <w:r>
        <w:t xml:space="preserve">Ten members of the improvements team completed the baseline survey and eight members completed the follow up, post intervention survey. </w:t>
      </w:r>
      <w:r w:rsidR="00D919FF">
        <w:t xml:space="preserve">Only five members where present for both the pre- and post-interventions surveys. Anonymous unique identifies where used to identify complete cases. Mean differences pre- post intervention were calculated and Wilcoxon sign-rank test was used to identify statistical significance. Although there were large differences observed pre- and post-intervention, no SusQI was identified as statistically significant. </w:t>
      </w:r>
    </w:p>
    <w:p w14:paraId="2A3FE9BC" w14:textId="77777777" w:rsidR="00211081" w:rsidRDefault="00211081" w:rsidP="00211081"/>
    <w:p w14:paraId="70F68D50" w14:textId="77777777" w:rsidR="00211081" w:rsidRDefault="00211081" w:rsidP="00211081">
      <w:r>
        <w:t xml:space="preserve">Informal group feedback identified that although this tool had value to the improvement team practitioners in their own project management work, it would only have limited benefit for integrating sustainability into wider quality improvement work. The team identified that many QIP project leads have limited interaction with the central improvements team and only a small proportion seek mentoring advice. The team identified that the tool would have potential more benefit if it was re-framed to directly target the QIP project leads as opposed to the improvement team mentors. The project leads could use the tool at conception to identify potential inclusion of environmental sustainability and get guidance on quantifying these impacts. </w:t>
      </w:r>
    </w:p>
    <w:p w14:paraId="3D9822DC" w14:textId="77777777" w:rsidR="00D919FF" w:rsidRDefault="00D919FF" w:rsidP="00211081"/>
    <w:tbl>
      <w:tblPr>
        <w:tblStyle w:val="TableGrid"/>
        <w:tblW w:w="8628" w:type="dxa"/>
        <w:tblLook w:val="04A0" w:firstRow="1" w:lastRow="0" w:firstColumn="1" w:lastColumn="0" w:noHBand="0" w:noVBand="1"/>
      </w:tblPr>
      <w:tblGrid>
        <w:gridCol w:w="2585"/>
        <w:gridCol w:w="960"/>
        <w:gridCol w:w="960"/>
        <w:gridCol w:w="1169"/>
        <w:gridCol w:w="960"/>
        <w:gridCol w:w="960"/>
        <w:gridCol w:w="1072"/>
      </w:tblGrid>
      <w:tr w:rsidR="00D919FF" w:rsidRPr="00D919FF" w14:paraId="0C35C78E" w14:textId="77777777" w:rsidTr="00D919FF">
        <w:trPr>
          <w:trHeight w:val="300"/>
        </w:trPr>
        <w:tc>
          <w:tcPr>
            <w:tcW w:w="2585" w:type="dxa"/>
            <w:noWrap/>
            <w:hideMark/>
          </w:tcPr>
          <w:p w14:paraId="107E21E0" w14:textId="77777777" w:rsidR="00D919FF" w:rsidRPr="00D919FF" w:rsidRDefault="00D919FF" w:rsidP="00D919FF">
            <w:pPr>
              <w:rPr>
                <w:rFonts w:ascii="Calibri" w:eastAsia="Times New Roman" w:hAnsi="Calibri" w:cs="Calibri"/>
                <w:b/>
                <w:color w:val="000000"/>
                <w:lang w:eastAsia="en-GB"/>
              </w:rPr>
            </w:pPr>
            <w:r w:rsidRPr="00D919FF">
              <w:rPr>
                <w:rFonts w:ascii="Calibri" w:eastAsia="Times New Roman" w:hAnsi="Calibri" w:cs="Calibri"/>
                <w:b/>
                <w:color w:val="000000"/>
                <w:lang w:eastAsia="en-GB"/>
              </w:rPr>
              <w:t>Concept</w:t>
            </w:r>
          </w:p>
        </w:tc>
        <w:tc>
          <w:tcPr>
            <w:tcW w:w="960" w:type="dxa"/>
            <w:noWrap/>
            <w:hideMark/>
          </w:tcPr>
          <w:p w14:paraId="51E63A95" w14:textId="77777777" w:rsidR="00D919FF" w:rsidRPr="00D919FF" w:rsidRDefault="00D919FF" w:rsidP="00D919FF">
            <w:pPr>
              <w:rPr>
                <w:rFonts w:ascii="Calibri" w:eastAsia="Times New Roman" w:hAnsi="Calibri" w:cs="Calibri"/>
                <w:b/>
                <w:color w:val="000000"/>
                <w:lang w:eastAsia="en-GB"/>
              </w:rPr>
            </w:pPr>
            <w:r w:rsidRPr="00D919FF">
              <w:rPr>
                <w:rFonts w:ascii="Calibri" w:eastAsia="Times New Roman" w:hAnsi="Calibri" w:cs="Calibri"/>
                <w:b/>
                <w:color w:val="000000"/>
                <w:lang w:eastAsia="en-GB"/>
              </w:rPr>
              <w:t>Mean Pre</w:t>
            </w:r>
          </w:p>
        </w:tc>
        <w:tc>
          <w:tcPr>
            <w:tcW w:w="960" w:type="dxa"/>
            <w:noWrap/>
            <w:hideMark/>
          </w:tcPr>
          <w:p w14:paraId="0862466A" w14:textId="77777777" w:rsidR="00D919FF" w:rsidRPr="00D919FF" w:rsidRDefault="00D919FF" w:rsidP="00D919FF">
            <w:pPr>
              <w:rPr>
                <w:rFonts w:ascii="Calibri" w:eastAsia="Times New Roman" w:hAnsi="Calibri" w:cs="Calibri"/>
                <w:b/>
                <w:color w:val="000000"/>
                <w:lang w:eastAsia="en-GB"/>
              </w:rPr>
            </w:pPr>
            <w:r w:rsidRPr="00D919FF">
              <w:rPr>
                <w:rFonts w:ascii="Calibri" w:eastAsia="Times New Roman" w:hAnsi="Calibri" w:cs="Calibri"/>
                <w:b/>
                <w:color w:val="000000"/>
                <w:lang w:eastAsia="en-GB"/>
              </w:rPr>
              <w:t>Mean Post</w:t>
            </w:r>
          </w:p>
        </w:tc>
        <w:tc>
          <w:tcPr>
            <w:tcW w:w="1150" w:type="dxa"/>
            <w:noWrap/>
            <w:hideMark/>
          </w:tcPr>
          <w:p w14:paraId="3D3413A5" w14:textId="77777777" w:rsidR="00D919FF" w:rsidRPr="00D919FF" w:rsidRDefault="00D919FF" w:rsidP="00D919FF">
            <w:pPr>
              <w:rPr>
                <w:rFonts w:ascii="Calibri" w:eastAsia="Times New Roman" w:hAnsi="Calibri" w:cs="Calibri"/>
                <w:b/>
                <w:color w:val="000000"/>
                <w:lang w:eastAsia="en-GB"/>
              </w:rPr>
            </w:pPr>
            <w:r w:rsidRPr="00D919FF">
              <w:rPr>
                <w:rFonts w:ascii="Calibri" w:eastAsia="Times New Roman" w:hAnsi="Calibri" w:cs="Calibri"/>
                <w:b/>
                <w:color w:val="000000"/>
                <w:lang w:eastAsia="en-GB"/>
              </w:rPr>
              <w:t>Mean Difference</w:t>
            </w:r>
          </w:p>
        </w:tc>
        <w:tc>
          <w:tcPr>
            <w:tcW w:w="960" w:type="dxa"/>
            <w:noWrap/>
            <w:hideMark/>
          </w:tcPr>
          <w:p w14:paraId="11E27131" w14:textId="77777777" w:rsidR="00D919FF" w:rsidRPr="00D919FF" w:rsidRDefault="00D919FF" w:rsidP="00D919FF">
            <w:pPr>
              <w:rPr>
                <w:rFonts w:ascii="Calibri" w:eastAsia="Times New Roman" w:hAnsi="Calibri" w:cs="Calibri"/>
                <w:b/>
                <w:color w:val="000000"/>
                <w:lang w:eastAsia="en-GB"/>
              </w:rPr>
            </w:pPr>
            <w:r w:rsidRPr="00D919FF">
              <w:rPr>
                <w:rFonts w:ascii="Calibri" w:eastAsia="Times New Roman" w:hAnsi="Calibri" w:cs="Calibri"/>
                <w:b/>
                <w:color w:val="000000"/>
                <w:lang w:eastAsia="en-GB"/>
              </w:rPr>
              <w:t>Median Pre</w:t>
            </w:r>
          </w:p>
        </w:tc>
        <w:tc>
          <w:tcPr>
            <w:tcW w:w="960" w:type="dxa"/>
            <w:noWrap/>
            <w:hideMark/>
          </w:tcPr>
          <w:p w14:paraId="371D2CE2" w14:textId="77777777" w:rsidR="00D919FF" w:rsidRPr="00D919FF" w:rsidRDefault="00D919FF" w:rsidP="00D919FF">
            <w:pPr>
              <w:rPr>
                <w:rFonts w:ascii="Calibri" w:eastAsia="Times New Roman" w:hAnsi="Calibri" w:cs="Calibri"/>
                <w:b/>
                <w:color w:val="000000"/>
                <w:lang w:eastAsia="en-GB"/>
              </w:rPr>
            </w:pPr>
            <w:r w:rsidRPr="00D919FF">
              <w:rPr>
                <w:rFonts w:ascii="Calibri" w:eastAsia="Times New Roman" w:hAnsi="Calibri" w:cs="Calibri"/>
                <w:b/>
                <w:color w:val="000000"/>
                <w:lang w:eastAsia="en-GB"/>
              </w:rPr>
              <w:t>Median Post</w:t>
            </w:r>
          </w:p>
        </w:tc>
        <w:tc>
          <w:tcPr>
            <w:tcW w:w="1053" w:type="dxa"/>
            <w:noWrap/>
            <w:hideMark/>
          </w:tcPr>
          <w:p w14:paraId="754FA9E6" w14:textId="77777777" w:rsidR="00D919FF" w:rsidRPr="00D919FF" w:rsidRDefault="00D919FF" w:rsidP="00D919FF">
            <w:pPr>
              <w:rPr>
                <w:rFonts w:ascii="Calibri" w:eastAsia="Times New Roman" w:hAnsi="Calibri" w:cs="Calibri"/>
                <w:b/>
                <w:color w:val="000000"/>
                <w:lang w:eastAsia="en-GB"/>
              </w:rPr>
            </w:pPr>
            <w:r w:rsidRPr="00D919FF">
              <w:rPr>
                <w:rFonts w:ascii="Calibri" w:eastAsia="Times New Roman" w:hAnsi="Calibri" w:cs="Calibri"/>
                <w:b/>
                <w:color w:val="000000"/>
                <w:lang w:eastAsia="en-GB"/>
              </w:rPr>
              <w:t>Wilcoxon p-value</w:t>
            </w:r>
          </w:p>
        </w:tc>
      </w:tr>
      <w:tr w:rsidR="00D919FF" w:rsidRPr="00D919FF" w14:paraId="5CEE41A5" w14:textId="77777777" w:rsidTr="00D919FF">
        <w:trPr>
          <w:trHeight w:val="300"/>
        </w:trPr>
        <w:tc>
          <w:tcPr>
            <w:tcW w:w="2585" w:type="dxa"/>
            <w:noWrap/>
            <w:hideMark/>
          </w:tcPr>
          <w:p w14:paraId="063554C0" w14:textId="77777777" w:rsidR="00D919FF" w:rsidRPr="00D919FF" w:rsidRDefault="00D919FF" w:rsidP="00D919FF">
            <w:pPr>
              <w:rPr>
                <w:rFonts w:ascii="Calibri" w:eastAsia="Times New Roman" w:hAnsi="Calibri" w:cs="Calibri"/>
                <w:color w:val="000000"/>
                <w:lang w:eastAsia="en-GB"/>
              </w:rPr>
            </w:pPr>
            <w:r w:rsidRPr="00D919FF">
              <w:rPr>
                <w:rFonts w:ascii="Calibri" w:eastAsia="Times New Roman" w:hAnsi="Calibri" w:cs="Calibri"/>
                <w:color w:val="000000"/>
                <w:lang w:eastAsia="en-GB"/>
              </w:rPr>
              <w:t>Environmental Sustainability</w:t>
            </w:r>
          </w:p>
        </w:tc>
        <w:tc>
          <w:tcPr>
            <w:tcW w:w="960" w:type="dxa"/>
            <w:noWrap/>
            <w:hideMark/>
          </w:tcPr>
          <w:p w14:paraId="47010C23" w14:textId="77777777" w:rsidR="00D919FF" w:rsidRPr="00D919FF" w:rsidRDefault="00D919FF" w:rsidP="00D919FF">
            <w:pPr>
              <w:jc w:val="right"/>
              <w:rPr>
                <w:rFonts w:ascii="Calibri" w:eastAsia="Times New Roman" w:hAnsi="Calibri" w:cs="Calibri"/>
                <w:color w:val="000000"/>
                <w:lang w:eastAsia="en-GB"/>
              </w:rPr>
            </w:pPr>
            <w:r w:rsidRPr="00D919FF">
              <w:rPr>
                <w:rFonts w:ascii="Calibri" w:eastAsia="Times New Roman" w:hAnsi="Calibri" w:cs="Calibri"/>
                <w:color w:val="000000"/>
                <w:lang w:eastAsia="en-GB"/>
              </w:rPr>
              <w:t>2.8</w:t>
            </w:r>
          </w:p>
        </w:tc>
        <w:tc>
          <w:tcPr>
            <w:tcW w:w="960" w:type="dxa"/>
            <w:noWrap/>
            <w:hideMark/>
          </w:tcPr>
          <w:p w14:paraId="0E3B7202" w14:textId="77777777" w:rsidR="00D919FF" w:rsidRPr="00D919FF" w:rsidRDefault="00D919FF" w:rsidP="00D919FF">
            <w:pPr>
              <w:jc w:val="right"/>
              <w:rPr>
                <w:rFonts w:ascii="Calibri" w:eastAsia="Times New Roman" w:hAnsi="Calibri" w:cs="Calibri"/>
                <w:color w:val="000000"/>
                <w:lang w:eastAsia="en-GB"/>
              </w:rPr>
            </w:pPr>
            <w:r w:rsidRPr="00D919FF">
              <w:rPr>
                <w:rFonts w:ascii="Calibri" w:eastAsia="Times New Roman" w:hAnsi="Calibri" w:cs="Calibri"/>
                <w:color w:val="000000"/>
                <w:lang w:eastAsia="en-GB"/>
              </w:rPr>
              <w:t>4</w:t>
            </w:r>
          </w:p>
        </w:tc>
        <w:tc>
          <w:tcPr>
            <w:tcW w:w="1150" w:type="dxa"/>
            <w:noWrap/>
            <w:hideMark/>
          </w:tcPr>
          <w:p w14:paraId="199181A8" w14:textId="77777777" w:rsidR="00D919FF" w:rsidRPr="00D919FF" w:rsidRDefault="00D919FF" w:rsidP="00D919FF">
            <w:pPr>
              <w:jc w:val="right"/>
              <w:rPr>
                <w:rFonts w:ascii="Calibri" w:eastAsia="Times New Roman" w:hAnsi="Calibri" w:cs="Calibri"/>
                <w:color w:val="000000"/>
                <w:lang w:eastAsia="en-GB"/>
              </w:rPr>
            </w:pPr>
            <w:r w:rsidRPr="00D919FF">
              <w:rPr>
                <w:rFonts w:ascii="Calibri" w:eastAsia="Times New Roman" w:hAnsi="Calibri" w:cs="Calibri"/>
                <w:color w:val="000000"/>
                <w:lang w:eastAsia="en-GB"/>
              </w:rPr>
              <w:t>1.2</w:t>
            </w:r>
          </w:p>
        </w:tc>
        <w:tc>
          <w:tcPr>
            <w:tcW w:w="960" w:type="dxa"/>
            <w:noWrap/>
            <w:hideMark/>
          </w:tcPr>
          <w:p w14:paraId="7E27D614" w14:textId="77777777" w:rsidR="00D919FF" w:rsidRPr="00D919FF" w:rsidRDefault="00D919FF" w:rsidP="00D919FF">
            <w:pPr>
              <w:jc w:val="right"/>
              <w:rPr>
                <w:rFonts w:ascii="Calibri" w:eastAsia="Times New Roman" w:hAnsi="Calibri" w:cs="Calibri"/>
                <w:color w:val="000000"/>
                <w:lang w:eastAsia="en-GB"/>
              </w:rPr>
            </w:pPr>
            <w:r w:rsidRPr="00D919FF">
              <w:rPr>
                <w:rFonts w:ascii="Calibri" w:eastAsia="Times New Roman" w:hAnsi="Calibri" w:cs="Calibri"/>
                <w:color w:val="000000"/>
                <w:lang w:eastAsia="en-GB"/>
              </w:rPr>
              <w:t>3</w:t>
            </w:r>
          </w:p>
        </w:tc>
        <w:tc>
          <w:tcPr>
            <w:tcW w:w="960" w:type="dxa"/>
            <w:noWrap/>
            <w:hideMark/>
          </w:tcPr>
          <w:p w14:paraId="594CCB7A" w14:textId="77777777" w:rsidR="00D919FF" w:rsidRPr="00D919FF" w:rsidRDefault="00D919FF" w:rsidP="00D919FF">
            <w:pPr>
              <w:jc w:val="right"/>
              <w:rPr>
                <w:rFonts w:ascii="Calibri" w:eastAsia="Times New Roman" w:hAnsi="Calibri" w:cs="Calibri"/>
                <w:color w:val="000000"/>
                <w:lang w:eastAsia="en-GB"/>
              </w:rPr>
            </w:pPr>
            <w:r w:rsidRPr="00D919FF">
              <w:rPr>
                <w:rFonts w:ascii="Calibri" w:eastAsia="Times New Roman" w:hAnsi="Calibri" w:cs="Calibri"/>
                <w:color w:val="000000"/>
                <w:lang w:eastAsia="en-GB"/>
              </w:rPr>
              <w:t>4</w:t>
            </w:r>
          </w:p>
        </w:tc>
        <w:tc>
          <w:tcPr>
            <w:tcW w:w="1053" w:type="dxa"/>
            <w:noWrap/>
            <w:hideMark/>
          </w:tcPr>
          <w:p w14:paraId="7226FE14" w14:textId="77777777" w:rsidR="00D919FF" w:rsidRPr="00D919FF" w:rsidRDefault="00D919FF" w:rsidP="00D919FF">
            <w:pPr>
              <w:jc w:val="right"/>
              <w:rPr>
                <w:rFonts w:ascii="Calibri" w:eastAsia="Times New Roman" w:hAnsi="Calibri" w:cs="Calibri"/>
                <w:color w:val="000000"/>
                <w:lang w:eastAsia="en-GB"/>
              </w:rPr>
            </w:pPr>
            <w:r w:rsidRPr="00D919FF">
              <w:rPr>
                <w:rFonts w:ascii="Calibri" w:eastAsia="Times New Roman" w:hAnsi="Calibri" w:cs="Calibri"/>
                <w:color w:val="000000"/>
                <w:lang w:eastAsia="en-GB"/>
              </w:rPr>
              <w:t>0.0625</w:t>
            </w:r>
          </w:p>
        </w:tc>
      </w:tr>
      <w:tr w:rsidR="00D919FF" w:rsidRPr="00D919FF" w14:paraId="3EB7ED34" w14:textId="77777777" w:rsidTr="00D919FF">
        <w:trPr>
          <w:trHeight w:val="300"/>
        </w:trPr>
        <w:tc>
          <w:tcPr>
            <w:tcW w:w="2585" w:type="dxa"/>
            <w:noWrap/>
            <w:hideMark/>
          </w:tcPr>
          <w:p w14:paraId="3B5944DD" w14:textId="77777777" w:rsidR="00D919FF" w:rsidRPr="00D919FF" w:rsidRDefault="00D919FF" w:rsidP="00D919FF">
            <w:pPr>
              <w:rPr>
                <w:rFonts w:ascii="Calibri" w:eastAsia="Times New Roman" w:hAnsi="Calibri" w:cs="Calibri"/>
                <w:color w:val="000000"/>
                <w:lang w:eastAsia="en-GB"/>
              </w:rPr>
            </w:pPr>
            <w:r w:rsidRPr="00D919FF">
              <w:rPr>
                <w:rFonts w:ascii="Calibri" w:eastAsia="Times New Roman" w:hAnsi="Calibri" w:cs="Calibri"/>
                <w:color w:val="000000"/>
                <w:lang w:eastAsia="en-GB"/>
              </w:rPr>
              <w:t>Carbon foot-printing</w:t>
            </w:r>
          </w:p>
        </w:tc>
        <w:tc>
          <w:tcPr>
            <w:tcW w:w="960" w:type="dxa"/>
            <w:noWrap/>
            <w:hideMark/>
          </w:tcPr>
          <w:p w14:paraId="6AB397AB" w14:textId="77777777" w:rsidR="00D919FF" w:rsidRPr="00D919FF" w:rsidRDefault="00D919FF" w:rsidP="00D919FF">
            <w:pPr>
              <w:jc w:val="right"/>
              <w:rPr>
                <w:rFonts w:ascii="Calibri" w:eastAsia="Times New Roman" w:hAnsi="Calibri" w:cs="Calibri"/>
                <w:color w:val="000000"/>
                <w:lang w:eastAsia="en-GB"/>
              </w:rPr>
            </w:pPr>
            <w:r w:rsidRPr="00D919FF">
              <w:rPr>
                <w:rFonts w:ascii="Calibri" w:eastAsia="Times New Roman" w:hAnsi="Calibri" w:cs="Calibri"/>
                <w:color w:val="000000"/>
                <w:lang w:eastAsia="en-GB"/>
              </w:rPr>
              <w:t>2</w:t>
            </w:r>
          </w:p>
        </w:tc>
        <w:tc>
          <w:tcPr>
            <w:tcW w:w="960" w:type="dxa"/>
            <w:noWrap/>
            <w:hideMark/>
          </w:tcPr>
          <w:p w14:paraId="06CE5C9B" w14:textId="77777777" w:rsidR="00D919FF" w:rsidRPr="00D919FF" w:rsidRDefault="00D919FF" w:rsidP="00D919FF">
            <w:pPr>
              <w:jc w:val="right"/>
              <w:rPr>
                <w:rFonts w:ascii="Calibri" w:eastAsia="Times New Roman" w:hAnsi="Calibri" w:cs="Calibri"/>
                <w:color w:val="000000"/>
                <w:lang w:eastAsia="en-GB"/>
              </w:rPr>
            </w:pPr>
            <w:r w:rsidRPr="00D919FF">
              <w:rPr>
                <w:rFonts w:ascii="Calibri" w:eastAsia="Times New Roman" w:hAnsi="Calibri" w:cs="Calibri"/>
                <w:color w:val="000000"/>
                <w:lang w:eastAsia="en-GB"/>
              </w:rPr>
              <w:t>3.6</w:t>
            </w:r>
          </w:p>
        </w:tc>
        <w:tc>
          <w:tcPr>
            <w:tcW w:w="1150" w:type="dxa"/>
            <w:noWrap/>
            <w:hideMark/>
          </w:tcPr>
          <w:p w14:paraId="35C365D9" w14:textId="77777777" w:rsidR="00D919FF" w:rsidRPr="00D919FF" w:rsidRDefault="00D919FF" w:rsidP="00D919FF">
            <w:pPr>
              <w:jc w:val="right"/>
              <w:rPr>
                <w:rFonts w:ascii="Calibri" w:eastAsia="Times New Roman" w:hAnsi="Calibri" w:cs="Calibri"/>
                <w:color w:val="000000"/>
                <w:lang w:eastAsia="en-GB"/>
              </w:rPr>
            </w:pPr>
            <w:r w:rsidRPr="00D919FF">
              <w:rPr>
                <w:rFonts w:ascii="Calibri" w:eastAsia="Times New Roman" w:hAnsi="Calibri" w:cs="Calibri"/>
                <w:color w:val="000000"/>
                <w:lang w:eastAsia="en-GB"/>
              </w:rPr>
              <w:t>1.6</w:t>
            </w:r>
          </w:p>
        </w:tc>
        <w:tc>
          <w:tcPr>
            <w:tcW w:w="960" w:type="dxa"/>
            <w:noWrap/>
            <w:hideMark/>
          </w:tcPr>
          <w:p w14:paraId="242710DF" w14:textId="77777777" w:rsidR="00D919FF" w:rsidRPr="00D919FF" w:rsidRDefault="00D919FF" w:rsidP="00D919FF">
            <w:pPr>
              <w:jc w:val="right"/>
              <w:rPr>
                <w:rFonts w:ascii="Calibri" w:eastAsia="Times New Roman" w:hAnsi="Calibri" w:cs="Calibri"/>
                <w:color w:val="000000"/>
                <w:lang w:eastAsia="en-GB"/>
              </w:rPr>
            </w:pPr>
            <w:r w:rsidRPr="00D919FF">
              <w:rPr>
                <w:rFonts w:ascii="Calibri" w:eastAsia="Times New Roman" w:hAnsi="Calibri" w:cs="Calibri"/>
                <w:color w:val="000000"/>
                <w:lang w:eastAsia="en-GB"/>
              </w:rPr>
              <w:t>1</w:t>
            </w:r>
          </w:p>
        </w:tc>
        <w:tc>
          <w:tcPr>
            <w:tcW w:w="960" w:type="dxa"/>
            <w:noWrap/>
            <w:hideMark/>
          </w:tcPr>
          <w:p w14:paraId="09BF0917" w14:textId="77777777" w:rsidR="00D919FF" w:rsidRPr="00D919FF" w:rsidRDefault="00D919FF" w:rsidP="00D919FF">
            <w:pPr>
              <w:jc w:val="right"/>
              <w:rPr>
                <w:rFonts w:ascii="Calibri" w:eastAsia="Times New Roman" w:hAnsi="Calibri" w:cs="Calibri"/>
                <w:color w:val="000000"/>
                <w:lang w:eastAsia="en-GB"/>
              </w:rPr>
            </w:pPr>
            <w:r w:rsidRPr="00D919FF">
              <w:rPr>
                <w:rFonts w:ascii="Calibri" w:eastAsia="Times New Roman" w:hAnsi="Calibri" w:cs="Calibri"/>
                <w:color w:val="000000"/>
                <w:lang w:eastAsia="en-GB"/>
              </w:rPr>
              <w:t>4</w:t>
            </w:r>
          </w:p>
        </w:tc>
        <w:tc>
          <w:tcPr>
            <w:tcW w:w="1053" w:type="dxa"/>
            <w:noWrap/>
            <w:hideMark/>
          </w:tcPr>
          <w:p w14:paraId="00CC752D" w14:textId="77777777" w:rsidR="00D919FF" w:rsidRPr="00D919FF" w:rsidRDefault="00D919FF" w:rsidP="00D919FF">
            <w:pPr>
              <w:jc w:val="right"/>
              <w:rPr>
                <w:rFonts w:ascii="Calibri" w:eastAsia="Times New Roman" w:hAnsi="Calibri" w:cs="Calibri"/>
                <w:color w:val="000000"/>
                <w:lang w:eastAsia="en-GB"/>
              </w:rPr>
            </w:pPr>
            <w:r w:rsidRPr="00D919FF">
              <w:rPr>
                <w:rFonts w:ascii="Calibri" w:eastAsia="Times New Roman" w:hAnsi="Calibri" w:cs="Calibri"/>
                <w:color w:val="000000"/>
                <w:lang w:eastAsia="en-GB"/>
              </w:rPr>
              <w:t>0.0625</w:t>
            </w:r>
          </w:p>
        </w:tc>
      </w:tr>
      <w:tr w:rsidR="00D919FF" w:rsidRPr="00D919FF" w14:paraId="792707EA" w14:textId="77777777" w:rsidTr="00D919FF">
        <w:trPr>
          <w:trHeight w:val="300"/>
        </w:trPr>
        <w:tc>
          <w:tcPr>
            <w:tcW w:w="2585" w:type="dxa"/>
            <w:noWrap/>
            <w:hideMark/>
          </w:tcPr>
          <w:p w14:paraId="3113C407" w14:textId="77777777" w:rsidR="00D919FF" w:rsidRPr="00D919FF" w:rsidRDefault="00D919FF" w:rsidP="00D919FF">
            <w:pPr>
              <w:rPr>
                <w:rFonts w:ascii="Calibri" w:eastAsia="Times New Roman" w:hAnsi="Calibri" w:cs="Calibri"/>
                <w:color w:val="000000"/>
                <w:lang w:eastAsia="en-GB"/>
              </w:rPr>
            </w:pPr>
            <w:r w:rsidRPr="00D919FF">
              <w:rPr>
                <w:rFonts w:ascii="Calibri" w:eastAsia="Times New Roman" w:hAnsi="Calibri" w:cs="Calibri"/>
                <w:color w:val="000000"/>
                <w:lang w:eastAsia="en-GB"/>
              </w:rPr>
              <w:t>Social Sustainability</w:t>
            </w:r>
          </w:p>
        </w:tc>
        <w:tc>
          <w:tcPr>
            <w:tcW w:w="960" w:type="dxa"/>
            <w:noWrap/>
            <w:hideMark/>
          </w:tcPr>
          <w:p w14:paraId="5E540134" w14:textId="77777777" w:rsidR="00D919FF" w:rsidRPr="00D919FF" w:rsidRDefault="00D919FF" w:rsidP="00D919FF">
            <w:pPr>
              <w:jc w:val="right"/>
              <w:rPr>
                <w:rFonts w:ascii="Calibri" w:eastAsia="Times New Roman" w:hAnsi="Calibri" w:cs="Calibri"/>
                <w:color w:val="000000"/>
                <w:lang w:eastAsia="en-GB"/>
              </w:rPr>
            </w:pPr>
            <w:r w:rsidRPr="00D919FF">
              <w:rPr>
                <w:rFonts w:ascii="Calibri" w:eastAsia="Times New Roman" w:hAnsi="Calibri" w:cs="Calibri"/>
                <w:color w:val="000000"/>
                <w:lang w:eastAsia="en-GB"/>
              </w:rPr>
              <w:t>2</w:t>
            </w:r>
          </w:p>
        </w:tc>
        <w:tc>
          <w:tcPr>
            <w:tcW w:w="960" w:type="dxa"/>
            <w:noWrap/>
            <w:hideMark/>
          </w:tcPr>
          <w:p w14:paraId="57BF1EBA" w14:textId="77777777" w:rsidR="00D919FF" w:rsidRPr="00D919FF" w:rsidRDefault="00D919FF" w:rsidP="00D919FF">
            <w:pPr>
              <w:jc w:val="right"/>
              <w:rPr>
                <w:rFonts w:ascii="Calibri" w:eastAsia="Times New Roman" w:hAnsi="Calibri" w:cs="Calibri"/>
                <w:color w:val="000000"/>
                <w:lang w:eastAsia="en-GB"/>
              </w:rPr>
            </w:pPr>
            <w:r w:rsidRPr="00D919FF">
              <w:rPr>
                <w:rFonts w:ascii="Calibri" w:eastAsia="Times New Roman" w:hAnsi="Calibri" w:cs="Calibri"/>
                <w:color w:val="000000"/>
                <w:lang w:eastAsia="en-GB"/>
              </w:rPr>
              <w:t>3.2</w:t>
            </w:r>
          </w:p>
        </w:tc>
        <w:tc>
          <w:tcPr>
            <w:tcW w:w="1150" w:type="dxa"/>
            <w:noWrap/>
            <w:hideMark/>
          </w:tcPr>
          <w:p w14:paraId="5A0AA28E" w14:textId="77777777" w:rsidR="00D919FF" w:rsidRPr="00D919FF" w:rsidRDefault="00D919FF" w:rsidP="00D919FF">
            <w:pPr>
              <w:jc w:val="right"/>
              <w:rPr>
                <w:rFonts w:ascii="Calibri" w:eastAsia="Times New Roman" w:hAnsi="Calibri" w:cs="Calibri"/>
                <w:color w:val="000000"/>
                <w:lang w:eastAsia="en-GB"/>
              </w:rPr>
            </w:pPr>
            <w:r w:rsidRPr="00D919FF">
              <w:rPr>
                <w:rFonts w:ascii="Calibri" w:eastAsia="Times New Roman" w:hAnsi="Calibri" w:cs="Calibri"/>
                <w:color w:val="000000"/>
                <w:lang w:eastAsia="en-GB"/>
              </w:rPr>
              <w:t>1.2</w:t>
            </w:r>
          </w:p>
        </w:tc>
        <w:tc>
          <w:tcPr>
            <w:tcW w:w="960" w:type="dxa"/>
            <w:noWrap/>
            <w:hideMark/>
          </w:tcPr>
          <w:p w14:paraId="650B0B62" w14:textId="77777777" w:rsidR="00D919FF" w:rsidRPr="00D919FF" w:rsidRDefault="00D919FF" w:rsidP="00D919FF">
            <w:pPr>
              <w:jc w:val="right"/>
              <w:rPr>
                <w:rFonts w:ascii="Calibri" w:eastAsia="Times New Roman" w:hAnsi="Calibri" w:cs="Calibri"/>
                <w:color w:val="000000"/>
                <w:lang w:eastAsia="en-GB"/>
              </w:rPr>
            </w:pPr>
            <w:r w:rsidRPr="00D919FF">
              <w:rPr>
                <w:rFonts w:ascii="Calibri" w:eastAsia="Times New Roman" w:hAnsi="Calibri" w:cs="Calibri"/>
                <w:color w:val="000000"/>
                <w:lang w:eastAsia="en-GB"/>
              </w:rPr>
              <w:t>2</w:t>
            </w:r>
          </w:p>
        </w:tc>
        <w:tc>
          <w:tcPr>
            <w:tcW w:w="960" w:type="dxa"/>
            <w:noWrap/>
            <w:hideMark/>
          </w:tcPr>
          <w:p w14:paraId="73C09AB8" w14:textId="77777777" w:rsidR="00D919FF" w:rsidRPr="00D919FF" w:rsidRDefault="00D919FF" w:rsidP="00D919FF">
            <w:pPr>
              <w:jc w:val="right"/>
              <w:rPr>
                <w:rFonts w:ascii="Calibri" w:eastAsia="Times New Roman" w:hAnsi="Calibri" w:cs="Calibri"/>
                <w:color w:val="000000"/>
                <w:lang w:eastAsia="en-GB"/>
              </w:rPr>
            </w:pPr>
            <w:r w:rsidRPr="00D919FF">
              <w:rPr>
                <w:rFonts w:ascii="Calibri" w:eastAsia="Times New Roman" w:hAnsi="Calibri" w:cs="Calibri"/>
                <w:color w:val="000000"/>
                <w:lang w:eastAsia="en-GB"/>
              </w:rPr>
              <w:t>3</w:t>
            </w:r>
          </w:p>
        </w:tc>
        <w:tc>
          <w:tcPr>
            <w:tcW w:w="1053" w:type="dxa"/>
            <w:noWrap/>
            <w:hideMark/>
          </w:tcPr>
          <w:p w14:paraId="3EFC892B" w14:textId="77777777" w:rsidR="00D919FF" w:rsidRPr="00D919FF" w:rsidRDefault="00D919FF" w:rsidP="00D919FF">
            <w:pPr>
              <w:jc w:val="right"/>
              <w:rPr>
                <w:rFonts w:ascii="Calibri" w:eastAsia="Times New Roman" w:hAnsi="Calibri" w:cs="Calibri"/>
                <w:color w:val="000000"/>
                <w:lang w:eastAsia="en-GB"/>
              </w:rPr>
            </w:pPr>
            <w:r w:rsidRPr="00D919FF">
              <w:rPr>
                <w:rFonts w:ascii="Calibri" w:eastAsia="Times New Roman" w:hAnsi="Calibri" w:cs="Calibri"/>
                <w:color w:val="000000"/>
                <w:lang w:eastAsia="en-GB"/>
              </w:rPr>
              <w:t>0.108809</w:t>
            </w:r>
          </w:p>
        </w:tc>
      </w:tr>
      <w:tr w:rsidR="00D919FF" w:rsidRPr="00D919FF" w14:paraId="3F2759AF" w14:textId="77777777" w:rsidTr="00D919FF">
        <w:trPr>
          <w:trHeight w:val="300"/>
        </w:trPr>
        <w:tc>
          <w:tcPr>
            <w:tcW w:w="2585" w:type="dxa"/>
            <w:noWrap/>
            <w:hideMark/>
          </w:tcPr>
          <w:p w14:paraId="69679F48" w14:textId="77777777" w:rsidR="00D919FF" w:rsidRPr="00D919FF" w:rsidRDefault="00D919FF" w:rsidP="00D919FF">
            <w:pPr>
              <w:rPr>
                <w:rFonts w:ascii="Calibri" w:eastAsia="Times New Roman" w:hAnsi="Calibri" w:cs="Calibri"/>
                <w:color w:val="000000"/>
                <w:lang w:eastAsia="en-GB"/>
              </w:rPr>
            </w:pPr>
            <w:r w:rsidRPr="00D919FF">
              <w:rPr>
                <w:rFonts w:ascii="Calibri" w:eastAsia="Times New Roman" w:hAnsi="Calibri" w:cs="Calibri"/>
                <w:color w:val="000000"/>
                <w:lang w:eastAsia="en-GB"/>
              </w:rPr>
              <w:t>Financial Sustainability</w:t>
            </w:r>
          </w:p>
        </w:tc>
        <w:tc>
          <w:tcPr>
            <w:tcW w:w="960" w:type="dxa"/>
            <w:noWrap/>
            <w:hideMark/>
          </w:tcPr>
          <w:p w14:paraId="47566FFD" w14:textId="77777777" w:rsidR="00D919FF" w:rsidRPr="00D919FF" w:rsidRDefault="00D919FF" w:rsidP="00D919FF">
            <w:pPr>
              <w:jc w:val="right"/>
              <w:rPr>
                <w:rFonts w:ascii="Calibri" w:eastAsia="Times New Roman" w:hAnsi="Calibri" w:cs="Calibri"/>
                <w:color w:val="000000"/>
                <w:lang w:eastAsia="en-GB"/>
              </w:rPr>
            </w:pPr>
            <w:r w:rsidRPr="00D919FF">
              <w:rPr>
                <w:rFonts w:ascii="Calibri" w:eastAsia="Times New Roman" w:hAnsi="Calibri" w:cs="Calibri"/>
                <w:color w:val="000000"/>
                <w:lang w:eastAsia="en-GB"/>
              </w:rPr>
              <w:t>3.4</w:t>
            </w:r>
          </w:p>
        </w:tc>
        <w:tc>
          <w:tcPr>
            <w:tcW w:w="960" w:type="dxa"/>
            <w:noWrap/>
            <w:hideMark/>
          </w:tcPr>
          <w:p w14:paraId="5A1306CA" w14:textId="77777777" w:rsidR="00D919FF" w:rsidRPr="00D919FF" w:rsidRDefault="00D919FF" w:rsidP="00D919FF">
            <w:pPr>
              <w:jc w:val="right"/>
              <w:rPr>
                <w:rFonts w:ascii="Calibri" w:eastAsia="Times New Roman" w:hAnsi="Calibri" w:cs="Calibri"/>
                <w:color w:val="000000"/>
                <w:lang w:eastAsia="en-GB"/>
              </w:rPr>
            </w:pPr>
            <w:r w:rsidRPr="00D919FF">
              <w:rPr>
                <w:rFonts w:ascii="Calibri" w:eastAsia="Times New Roman" w:hAnsi="Calibri" w:cs="Calibri"/>
                <w:color w:val="000000"/>
                <w:lang w:eastAsia="en-GB"/>
              </w:rPr>
              <w:t>4</w:t>
            </w:r>
          </w:p>
        </w:tc>
        <w:tc>
          <w:tcPr>
            <w:tcW w:w="1150" w:type="dxa"/>
            <w:noWrap/>
            <w:hideMark/>
          </w:tcPr>
          <w:p w14:paraId="26F850F8" w14:textId="77777777" w:rsidR="00D919FF" w:rsidRPr="00D919FF" w:rsidRDefault="00D919FF" w:rsidP="00D919FF">
            <w:pPr>
              <w:jc w:val="right"/>
              <w:rPr>
                <w:rFonts w:ascii="Calibri" w:eastAsia="Times New Roman" w:hAnsi="Calibri" w:cs="Calibri"/>
                <w:color w:val="000000"/>
                <w:lang w:eastAsia="en-GB"/>
              </w:rPr>
            </w:pPr>
            <w:r w:rsidRPr="00D919FF">
              <w:rPr>
                <w:rFonts w:ascii="Calibri" w:eastAsia="Times New Roman" w:hAnsi="Calibri" w:cs="Calibri"/>
                <w:color w:val="000000"/>
                <w:lang w:eastAsia="en-GB"/>
              </w:rPr>
              <w:t>0.6</w:t>
            </w:r>
          </w:p>
        </w:tc>
        <w:tc>
          <w:tcPr>
            <w:tcW w:w="960" w:type="dxa"/>
            <w:noWrap/>
            <w:hideMark/>
          </w:tcPr>
          <w:p w14:paraId="1F470EEA" w14:textId="77777777" w:rsidR="00D919FF" w:rsidRPr="00D919FF" w:rsidRDefault="00D919FF" w:rsidP="00D919FF">
            <w:pPr>
              <w:jc w:val="right"/>
              <w:rPr>
                <w:rFonts w:ascii="Calibri" w:eastAsia="Times New Roman" w:hAnsi="Calibri" w:cs="Calibri"/>
                <w:color w:val="000000"/>
                <w:lang w:eastAsia="en-GB"/>
              </w:rPr>
            </w:pPr>
            <w:r w:rsidRPr="00D919FF">
              <w:rPr>
                <w:rFonts w:ascii="Calibri" w:eastAsia="Times New Roman" w:hAnsi="Calibri" w:cs="Calibri"/>
                <w:color w:val="000000"/>
                <w:lang w:eastAsia="en-GB"/>
              </w:rPr>
              <w:t>3</w:t>
            </w:r>
          </w:p>
        </w:tc>
        <w:tc>
          <w:tcPr>
            <w:tcW w:w="960" w:type="dxa"/>
            <w:noWrap/>
            <w:hideMark/>
          </w:tcPr>
          <w:p w14:paraId="0413F22A" w14:textId="77777777" w:rsidR="00D919FF" w:rsidRPr="00D919FF" w:rsidRDefault="00D919FF" w:rsidP="00D919FF">
            <w:pPr>
              <w:jc w:val="right"/>
              <w:rPr>
                <w:rFonts w:ascii="Calibri" w:eastAsia="Times New Roman" w:hAnsi="Calibri" w:cs="Calibri"/>
                <w:color w:val="000000"/>
                <w:lang w:eastAsia="en-GB"/>
              </w:rPr>
            </w:pPr>
            <w:r w:rsidRPr="00D919FF">
              <w:rPr>
                <w:rFonts w:ascii="Calibri" w:eastAsia="Times New Roman" w:hAnsi="Calibri" w:cs="Calibri"/>
                <w:color w:val="000000"/>
                <w:lang w:eastAsia="en-GB"/>
              </w:rPr>
              <w:t>4</w:t>
            </w:r>
          </w:p>
        </w:tc>
        <w:tc>
          <w:tcPr>
            <w:tcW w:w="1053" w:type="dxa"/>
            <w:noWrap/>
            <w:hideMark/>
          </w:tcPr>
          <w:p w14:paraId="0C3DEFDB" w14:textId="77777777" w:rsidR="00D919FF" w:rsidRPr="00D919FF" w:rsidRDefault="00D919FF" w:rsidP="00D919FF">
            <w:pPr>
              <w:jc w:val="right"/>
              <w:rPr>
                <w:rFonts w:ascii="Calibri" w:eastAsia="Times New Roman" w:hAnsi="Calibri" w:cs="Calibri"/>
                <w:color w:val="000000"/>
                <w:lang w:eastAsia="en-GB"/>
              </w:rPr>
            </w:pPr>
            <w:r w:rsidRPr="00D919FF">
              <w:rPr>
                <w:rFonts w:ascii="Calibri" w:eastAsia="Times New Roman" w:hAnsi="Calibri" w:cs="Calibri"/>
                <w:color w:val="000000"/>
                <w:lang w:eastAsia="en-GB"/>
              </w:rPr>
              <w:t>0.083265</w:t>
            </w:r>
          </w:p>
        </w:tc>
      </w:tr>
    </w:tbl>
    <w:p w14:paraId="63A86018" w14:textId="77777777" w:rsidR="00D919FF" w:rsidRDefault="00D919FF" w:rsidP="00211081"/>
    <w:p w14:paraId="4D7B6A89" w14:textId="77777777" w:rsidR="00211081" w:rsidRDefault="00211081" w:rsidP="00211081"/>
    <w:p w14:paraId="12B2E03D" w14:textId="77777777" w:rsidR="00CD0C5E" w:rsidRPr="00CD0C5E" w:rsidRDefault="00CD0C5E" w:rsidP="00CD0C5E">
      <w:pPr>
        <w:spacing w:after="160"/>
        <w:rPr>
          <w:b/>
        </w:rPr>
      </w:pPr>
      <w:r>
        <w:rPr>
          <w:b/>
        </w:rPr>
        <w:t>Pre-intervention confidence</w:t>
      </w:r>
    </w:p>
    <w:p w14:paraId="73514F29" w14:textId="77777777" w:rsidR="00CD0C5E" w:rsidRDefault="00CD0C5E" w:rsidP="00CD0C5E">
      <w:pPr>
        <w:spacing w:after="160"/>
      </w:pPr>
      <w:r w:rsidRPr="00CD0C5E">
        <w:rPr>
          <w:noProof/>
        </w:rPr>
        <w:lastRenderedPageBreak/>
        <w:drawing>
          <wp:inline distT="0" distB="0" distL="0" distR="0" wp14:anchorId="02FFEDF2" wp14:editId="2F57FE09">
            <wp:extent cx="5731510" cy="2014855"/>
            <wp:effectExtent l="0" t="0" r="2540" b="444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731510" cy="2014855"/>
                    </a:xfrm>
                    <a:prstGeom prst="rect">
                      <a:avLst/>
                    </a:prstGeom>
                  </pic:spPr>
                </pic:pic>
              </a:graphicData>
            </a:graphic>
          </wp:inline>
        </w:drawing>
      </w:r>
    </w:p>
    <w:p w14:paraId="1156D148" w14:textId="77777777" w:rsidR="00CD0C5E" w:rsidRPr="00CD0C5E" w:rsidRDefault="00CD0C5E" w:rsidP="00CD0C5E">
      <w:pPr>
        <w:rPr>
          <w:b/>
        </w:rPr>
      </w:pPr>
      <w:r>
        <w:rPr>
          <w:b/>
        </w:rPr>
        <w:t xml:space="preserve">Post intervention confidence: </w:t>
      </w:r>
    </w:p>
    <w:p w14:paraId="4AA77486" w14:textId="77777777" w:rsidR="00CD0C5E" w:rsidRPr="00211081" w:rsidRDefault="00CD0C5E" w:rsidP="00CD0C5E">
      <w:r w:rsidRPr="00CD0C5E">
        <w:rPr>
          <w:noProof/>
        </w:rPr>
        <w:drawing>
          <wp:inline distT="0" distB="0" distL="0" distR="0" wp14:anchorId="108AB7C2" wp14:editId="34B84274">
            <wp:extent cx="5731510" cy="1910080"/>
            <wp:effectExtent l="0" t="0" r="254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731510" cy="1910080"/>
                    </a:xfrm>
                    <a:prstGeom prst="rect">
                      <a:avLst/>
                    </a:prstGeom>
                  </pic:spPr>
                </pic:pic>
              </a:graphicData>
            </a:graphic>
          </wp:inline>
        </w:drawing>
      </w:r>
    </w:p>
    <w:p w14:paraId="152E0975" w14:textId="77777777" w:rsidR="00CD0C5E" w:rsidRPr="00211081" w:rsidRDefault="00CD0C5E" w:rsidP="00CD0C5E"/>
    <w:p w14:paraId="222D79A4" w14:textId="77777777" w:rsidR="00D919FF" w:rsidRDefault="00CD0C5E">
      <w:pPr>
        <w:spacing w:after="160"/>
      </w:pPr>
      <w:r>
        <w:rPr>
          <w:noProof/>
        </w:rPr>
        <w:drawing>
          <wp:inline distT="0" distB="0" distL="0" distR="0" wp14:anchorId="1069F1CE" wp14:editId="4B6E3647">
            <wp:extent cx="4882947" cy="2929985"/>
            <wp:effectExtent l="0" t="0" r="0" b="381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SIP graph pre-post intervention.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4899190" cy="2939732"/>
                    </a:xfrm>
                    <a:prstGeom prst="rect">
                      <a:avLst/>
                    </a:prstGeom>
                  </pic:spPr>
                </pic:pic>
              </a:graphicData>
            </a:graphic>
          </wp:inline>
        </w:drawing>
      </w:r>
    </w:p>
    <w:p w14:paraId="45A03B88" w14:textId="77777777" w:rsidR="00D919FF" w:rsidRDefault="00D919FF">
      <w:pPr>
        <w:spacing w:after="160"/>
      </w:pPr>
    </w:p>
    <w:p w14:paraId="2F1897AA" w14:textId="77777777" w:rsidR="005F6ECC" w:rsidRPr="005F6ECC" w:rsidRDefault="005F6ECC" w:rsidP="005F6ECC">
      <w:pPr>
        <w:pStyle w:val="Heading3"/>
      </w:pPr>
      <w:r>
        <w:t>Follow up and Key Learning</w:t>
      </w:r>
    </w:p>
    <w:p w14:paraId="5D7F24A1" w14:textId="77777777" w:rsidR="005F6ECC" w:rsidRPr="005F6ECC" w:rsidRDefault="005F6ECC" w:rsidP="005F6ECC">
      <w:pPr>
        <w:spacing w:line="300" w:lineRule="atLeast"/>
        <w:rPr>
          <w:rFonts w:ascii="Segoe UI" w:eastAsia="Times New Roman" w:hAnsi="Segoe UI" w:cs="Segoe UI"/>
          <w:sz w:val="21"/>
          <w:szCs w:val="21"/>
          <w:lang w:eastAsia="en-GB"/>
        </w:rPr>
      </w:pPr>
      <w:r w:rsidRPr="005F6ECC">
        <w:rPr>
          <w:rFonts w:ascii="Segoe UI" w:eastAsia="Times New Roman" w:hAnsi="Segoe UI" w:cs="Segoe UI"/>
          <w:sz w:val="21"/>
          <w:szCs w:val="21"/>
          <w:lang w:eastAsia="en-GB"/>
        </w:rPr>
        <w:t xml:space="preserve">The findings from this project suggest that while brief educational interventions can improve knowledge and confidence among Improvement Team practitioners, achieving measurable changes in the number and quality of SusQI projects will require broader system level integration. </w:t>
      </w:r>
      <w:r w:rsidRPr="005F6ECC">
        <w:rPr>
          <w:rFonts w:ascii="Segoe UI" w:eastAsia="Times New Roman" w:hAnsi="Segoe UI" w:cs="Segoe UI"/>
          <w:sz w:val="21"/>
          <w:szCs w:val="21"/>
          <w:lang w:eastAsia="en-GB"/>
        </w:rPr>
        <w:lastRenderedPageBreak/>
        <w:t>The next phase will focus on redesigning the interactive checklist into a project lead facing tool, enabling earlier consideration of environmental sustainability at the point of project conception. This will be piloted with selected project teams, alongside targeted feedback collection to iteratively refine usability and impact. In parallel, opportunities to embed SusQI principles into existing trust processes such as QIP registration forms, Medilead training and education programmes will be explored to normalise sustainability as a core domain of quality improvement. Engagement with external bodies including the Centre for Sustainable Healthcare and regional education networks will support alignment with best practice and wider dissemination. Finally, a repeat audit of completed QIPs will be undertaken at 6 to 12 months to evaluate whether these interventions have translated into a sustained increase in the incorporation and measurement of environmental sustainability, informing recommendations for trust wide adoption.</w:t>
      </w:r>
    </w:p>
    <w:p w14:paraId="71AD2674" w14:textId="77777777" w:rsidR="00D64DD6" w:rsidRDefault="00D64DD6" w:rsidP="00D658D6">
      <w:pPr>
        <w:spacing w:after="160"/>
      </w:pPr>
    </w:p>
    <w:p w14:paraId="1AA9148C" w14:textId="77777777" w:rsidR="00CD0C5E" w:rsidRDefault="00CD0C5E" w:rsidP="00D658D6">
      <w:pPr>
        <w:spacing w:after="160"/>
        <w:rPr>
          <w:b/>
        </w:rPr>
      </w:pPr>
      <w:r>
        <w:br w:type="page"/>
      </w:r>
    </w:p>
    <w:p w14:paraId="6386019E" w14:textId="77777777" w:rsidR="00D658D6" w:rsidRDefault="00D658D6" w:rsidP="00D658D6">
      <w:pPr>
        <w:spacing w:after="160"/>
        <w:rPr>
          <w:b/>
        </w:rPr>
      </w:pPr>
    </w:p>
    <w:p w14:paraId="26F90489" w14:textId="77777777" w:rsidR="00D658D6" w:rsidRPr="00D658D6" w:rsidRDefault="00D658D6" w:rsidP="00D658D6">
      <w:pPr>
        <w:spacing w:after="160"/>
        <w:rPr>
          <w:b/>
        </w:rPr>
        <w:sectPr w:rsidR="00D658D6" w:rsidRPr="00D658D6">
          <w:pgSz w:w="11906" w:h="16838"/>
          <w:pgMar w:top="1440" w:right="1440" w:bottom="1440" w:left="1440" w:header="708" w:footer="708" w:gutter="0"/>
          <w:cols w:space="708"/>
          <w:docGrid w:linePitch="360"/>
        </w:sectPr>
      </w:pPr>
    </w:p>
    <w:p w14:paraId="3A2FB218" w14:textId="77777777" w:rsidR="00CD0C5E" w:rsidRDefault="00CD0C5E" w:rsidP="00211081"/>
    <w:tbl>
      <w:tblPr>
        <w:tblStyle w:val="TableGrid"/>
        <w:tblW w:w="0" w:type="auto"/>
        <w:tblLook w:val="04A0" w:firstRow="1" w:lastRow="0" w:firstColumn="1" w:lastColumn="0" w:noHBand="0" w:noVBand="1"/>
      </w:tblPr>
      <w:tblGrid>
        <w:gridCol w:w="988"/>
        <w:gridCol w:w="3543"/>
        <w:gridCol w:w="3757"/>
        <w:gridCol w:w="2837"/>
        <w:gridCol w:w="2823"/>
      </w:tblGrid>
      <w:tr w:rsidR="00F61F83" w14:paraId="1DADDB45" w14:textId="77777777" w:rsidTr="005060C9">
        <w:tc>
          <w:tcPr>
            <w:tcW w:w="988" w:type="dxa"/>
          </w:tcPr>
          <w:p w14:paraId="52D010A5" w14:textId="77777777" w:rsidR="00F61F83" w:rsidRDefault="00F61F83" w:rsidP="007039A3">
            <w:pPr>
              <w:rPr>
                <w:b/>
              </w:rPr>
            </w:pPr>
          </w:p>
        </w:tc>
        <w:tc>
          <w:tcPr>
            <w:tcW w:w="3543" w:type="dxa"/>
          </w:tcPr>
          <w:p w14:paraId="131B6030" w14:textId="77777777" w:rsidR="00F61F83" w:rsidRPr="00F61F83" w:rsidRDefault="00765114" w:rsidP="007039A3">
            <w:pPr>
              <w:rPr>
                <w:b/>
              </w:rPr>
            </w:pPr>
            <w:r>
              <w:rPr>
                <w:b/>
              </w:rPr>
              <w:t xml:space="preserve">Figure: </w:t>
            </w:r>
            <w:r w:rsidR="00F61F83">
              <w:rPr>
                <w:b/>
              </w:rPr>
              <w:t>Boat chart/project on a page</w:t>
            </w:r>
          </w:p>
        </w:tc>
        <w:tc>
          <w:tcPr>
            <w:tcW w:w="3757" w:type="dxa"/>
          </w:tcPr>
          <w:p w14:paraId="1C45C78A" w14:textId="77777777" w:rsidR="00F61F83" w:rsidRDefault="00F61F83" w:rsidP="007039A3"/>
        </w:tc>
        <w:tc>
          <w:tcPr>
            <w:tcW w:w="2837" w:type="dxa"/>
          </w:tcPr>
          <w:p w14:paraId="3C04B227" w14:textId="77777777" w:rsidR="00F61F83" w:rsidRDefault="00F61F83" w:rsidP="007039A3"/>
        </w:tc>
        <w:tc>
          <w:tcPr>
            <w:tcW w:w="2823" w:type="dxa"/>
          </w:tcPr>
          <w:p w14:paraId="1B3364C7" w14:textId="77777777" w:rsidR="00F61F83" w:rsidRDefault="00F61F83" w:rsidP="007039A3"/>
        </w:tc>
      </w:tr>
      <w:tr w:rsidR="00F61F83" w14:paraId="0FB55F94" w14:textId="77777777" w:rsidTr="005060C9">
        <w:tc>
          <w:tcPr>
            <w:tcW w:w="988" w:type="dxa"/>
          </w:tcPr>
          <w:p w14:paraId="31C1A9A7" w14:textId="77777777" w:rsidR="00F61F83" w:rsidRPr="00F61F83" w:rsidRDefault="00F61F83" w:rsidP="007039A3">
            <w:pPr>
              <w:rPr>
                <w:sz w:val="18"/>
              </w:rPr>
            </w:pPr>
          </w:p>
        </w:tc>
        <w:tc>
          <w:tcPr>
            <w:tcW w:w="3543" w:type="dxa"/>
          </w:tcPr>
          <w:p w14:paraId="6D963F5C" w14:textId="77777777" w:rsidR="00F61F83" w:rsidRPr="00F61F83" w:rsidRDefault="00F61F83" w:rsidP="007039A3">
            <w:pPr>
              <w:rPr>
                <w:sz w:val="18"/>
              </w:rPr>
            </w:pPr>
            <w:r w:rsidRPr="00F61F83">
              <w:rPr>
                <w:sz w:val="18"/>
              </w:rPr>
              <w:t>December/January</w:t>
            </w:r>
          </w:p>
        </w:tc>
        <w:tc>
          <w:tcPr>
            <w:tcW w:w="3757" w:type="dxa"/>
          </w:tcPr>
          <w:p w14:paraId="3809A881" w14:textId="77777777" w:rsidR="00F61F83" w:rsidRPr="00F61F83" w:rsidRDefault="00F61F83" w:rsidP="007039A3">
            <w:pPr>
              <w:rPr>
                <w:sz w:val="18"/>
              </w:rPr>
            </w:pPr>
            <w:r w:rsidRPr="00F61F83">
              <w:rPr>
                <w:sz w:val="18"/>
              </w:rPr>
              <w:t xml:space="preserve">February </w:t>
            </w:r>
          </w:p>
        </w:tc>
        <w:tc>
          <w:tcPr>
            <w:tcW w:w="2837" w:type="dxa"/>
          </w:tcPr>
          <w:p w14:paraId="65922EE8" w14:textId="77777777" w:rsidR="00F61F83" w:rsidRPr="00F61F83" w:rsidRDefault="00F61F83" w:rsidP="007039A3">
            <w:pPr>
              <w:rPr>
                <w:sz w:val="18"/>
              </w:rPr>
            </w:pPr>
            <w:r w:rsidRPr="00F61F83">
              <w:rPr>
                <w:sz w:val="18"/>
              </w:rPr>
              <w:t>February/March</w:t>
            </w:r>
          </w:p>
        </w:tc>
        <w:tc>
          <w:tcPr>
            <w:tcW w:w="2823" w:type="dxa"/>
          </w:tcPr>
          <w:p w14:paraId="341E7683" w14:textId="77777777" w:rsidR="00F61F83" w:rsidRPr="00F61F83" w:rsidRDefault="00F61F83" w:rsidP="007039A3">
            <w:pPr>
              <w:rPr>
                <w:sz w:val="18"/>
              </w:rPr>
            </w:pPr>
            <w:r w:rsidRPr="00F61F83">
              <w:rPr>
                <w:sz w:val="18"/>
              </w:rPr>
              <w:t>March</w:t>
            </w:r>
          </w:p>
        </w:tc>
      </w:tr>
      <w:tr w:rsidR="00F61F83" w14:paraId="17FDB0A8" w14:textId="77777777" w:rsidTr="005060C9">
        <w:tc>
          <w:tcPr>
            <w:tcW w:w="988" w:type="dxa"/>
          </w:tcPr>
          <w:p w14:paraId="3C205807" w14:textId="77777777" w:rsidR="00F61F83" w:rsidRDefault="00F61F83" w:rsidP="00F61F83">
            <w:pPr>
              <w:jc w:val="center"/>
            </w:pPr>
          </w:p>
        </w:tc>
        <w:tc>
          <w:tcPr>
            <w:tcW w:w="3543" w:type="dxa"/>
            <w:shd w:val="clear" w:color="auto" w:fill="BDD6EE" w:themeFill="accent5" w:themeFillTint="66"/>
          </w:tcPr>
          <w:p w14:paraId="3FDDE547" w14:textId="77777777" w:rsidR="00F61F83" w:rsidRDefault="00F61F83" w:rsidP="00F61F83">
            <w:pPr>
              <w:jc w:val="center"/>
            </w:pPr>
            <w:r>
              <w:t>KNOW</w:t>
            </w:r>
          </w:p>
        </w:tc>
        <w:tc>
          <w:tcPr>
            <w:tcW w:w="3757" w:type="dxa"/>
            <w:shd w:val="clear" w:color="auto" w:fill="BDD6EE" w:themeFill="accent5" w:themeFillTint="66"/>
          </w:tcPr>
          <w:p w14:paraId="3EB19B60" w14:textId="77777777" w:rsidR="00F61F83" w:rsidRDefault="00F61F83" w:rsidP="00F61F83">
            <w:pPr>
              <w:jc w:val="center"/>
            </w:pPr>
            <w:r>
              <w:t>EXAMINE</w:t>
            </w:r>
          </w:p>
        </w:tc>
        <w:tc>
          <w:tcPr>
            <w:tcW w:w="2837" w:type="dxa"/>
            <w:shd w:val="clear" w:color="auto" w:fill="BDD6EE" w:themeFill="accent5" w:themeFillTint="66"/>
          </w:tcPr>
          <w:p w14:paraId="3EA28FC3" w14:textId="77777777" w:rsidR="00F61F83" w:rsidRDefault="00F61F83" w:rsidP="00F61F83">
            <w:pPr>
              <w:jc w:val="center"/>
            </w:pPr>
            <w:r>
              <w:t>NEW</w:t>
            </w:r>
          </w:p>
        </w:tc>
        <w:tc>
          <w:tcPr>
            <w:tcW w:w="2823" w:type="dxa"/>
            <w:shd w:val="clear" w:color="auto" w:fill="BDD6EE" w:themeFill="accent5" w:themeFillTint="66"/>
          </w:tcPr>
          <w:p w14:paraId="7D71F62A" w14:textId="77777777" w:rsidR="00F61F83" w:rsidRDefault="00F61F83" w:rsidP="00F61F83">
            <w:pPr>
              <w:jc w:val="center"/>
            </w:pPr>
            <w:r>
              <w:t>TRANSFORM</w:t>
            </w:r>
          </w:p>
        </w:tc>
      </w:tr>
      <w:tr w:rsidR="00F61F83" w14:paraId="1FC4C681" w14:textId="77777777" w:rsidTr="005060C9">
        <w:tc>
          <w:tcPr>
            <w:tcW w:w="988" w:type="dxa"/>
          </w:tcPr>
          <w:p w14:paraId="7A6ED932" w14:textId="77777777" w:rsidR="00F61F83" w:rsidRPr="00F61F83" w:rsidRDefault="00F61F83" w:rsidP="007039A3">
            <w:pPr>
              <w:rPr>
                <w:sz w:val="16"/>
              </w:rPr>
            </w:pPr>
            <w:r>
              <w:rPr>
                <w:sz w:val="16"/>
              </w:rPr>
              <w:t>Estimated Duration</w:t>
            </w:r>
          </w:p>
        </w:tc>
        <w:tc>
          <w:tcPr>
            <w:tcW w:w="3543" w:type="dxa"/>
          </w:tcPr>
          <w:p w14:paraId="098F4DE6" w14:textId="77777777" w:rsidR="00F61F83" w:rsidRPr="00F61F83" w:rsidRDefault="00F61F83" w:rsidP="007039A3">
            <w:pPr>
              <w:rPr>
                <w:sz w:val="16"/>
              </w:rPr>
            </w:pPr>
            <w:r w:rsidRPr="00F61F83">
              <w:rPr>
                <w:sz w:val="16"/>
              </w:rPr>
              <w:t>3-4 weeks</w:t>
            </w:r>
          </w:p>
        </w:tc>
        <w:tc>
          <w:tcPr>
            <w:tcW w:w="3757" w:type="dxa"/>
          </w:tcPr>
          <w:p w14:paraId="59AC3843" w14:textId="77777777" w:rsidR="00F61F83" w:rsidRPr="00F61F83" w:rsidRDefault="00F61F83" w:rsidP="007039A3">
            <w:pPr>
              <w:rPr>
                <w:sz w:val="16"/>
              </w:rPr>
            </w:pPr>
            <w:r w:rsidRPr="00F61F83">
              <w:rPr>
                <w:sz w:val="16"/>
              </w:rPr>
              <w:t>1 month</w:t>
            </w:r>
          </w:p>
        </w:tc>
        <w:tc>
          <w:tcPr>
            <w:tcW w:w="2837" w:type="dxa"/>
          </w:tcPr>
          <w:p w14:paraId="3EF735A9" w14:textId="77777777" w:rsidR="00F61F83" w:rsidRPr="00F61F83" w:rsidRDefault="00F61F83" w:rsidP="007039A3">
            <w:pPr>
              <w:rPr>
                <w:sz w:val="16"/>
              </w:rPr>
            </w:pPr>
            <w:r w:rsidRPr="00F61F83">
              <w:rPr>
                <w:sz w:val="16"/>
              </w:rPr>
              <w:t>1 month</w:t>
            </w:r>
          </w:p>
        </w:tc>
        <w:tc>
          <w:tcPr>
            <w:tcW w:w="2823" w:type="dxa"/>
          </w:tcPr>
          <w:p w14:paraId="2CD26DA3" w14:textId="77777777" w:rsidR="00F61F83" w:rsidRPr="00F61F83" w:rsidRDefault="00F61F83" w:rsidP="007039A3">
            <w:pPr>
              <w:rPr>
                <w:sz w:val="16"/>
              </w:rPr>
            </w:pPr>
            <w:r w:rsidRPr="00F61F83">
              <w:rPr>
                <w:sz w:val="16"/>
              </w:rPr>
              <w:t>1 month</w:t>
            </w:r>
          </w:p>
        </w:tc>
      </w:tr>
      <w:tr w:rsidR="00F61F83" w14:paraId="4CDE177F" w14:textId="77777777" w:rsidTr="005060C9">
        <w:tc>
          <w:tcPr>
            <w:tcW w:w="988" w:type="dxa"/>
          </w:tcPr>
          <w:p w14:paraId="5B0016DB" w14:textId="77777777" w:rsidR="00F61F83" w:rsidRDefault="00F61F83" w:rsidP="007039A3">
            <w:r>
              <w:rPr>
                <w:sz w:val="16"/>
              </w:rPr>
              <w:t>Key Activities</w:t>
            </w:r>
          </w:p>
        </w:tc>
        <w:tc>
          <w:tcPr>
            <w:tcW w:w="3543" w:type="dxa"/>
          </w:tcPr>
          <w:p w14:paraId="2D79C127" w14:textId="77777777" w:rsidR="00F61F83" w:rsidRDefault="00F61F83" w:rsidP="00F61F83">
            <w:pPr>
              <w:pStyle w:val="ListParagraph"/>
              <w:numPr>
                <w:ilvl w:val="0"/>
                <w:numId w:val="13"/>
              </w:numPr>
              <w:rPr>
                <w:sz w:val="16"/>
              </w:rPr>
            </w:pPr>
            <w:r>
              <w:rPr>
                <w:sz w:val="16"/>
              </w:rPr>
              <w:t xml:space="preserve">Understand context </w:t>
            </w:r>
          </w:p>
          <w:p w14:paraId="32F3B6BB" w14:textId="77777777" w:rsidR="00F61F83" w:rsidRDefault="00F61F83" w:rsidP="00F61F83">
            <w:pPr>
              <w:pStyle w:val="ListParagraph"/>
              <w:numPr>
                <w:ilvl w:val="0"/>
                <w:numId w:val="13"/>
              </w:numPr>
              <w:rPr>
                <w:sz w:val="16"/>
              </w:rPr>
            </w:pPr>
            <w:r>
              <w:rPr>
                <w:sz w:val="16"/>
              </w:rPr>
              <w:t>Identify key stakeholders</w:t>
            </w:r>
          </w:p>
          <w:p w14:paraId="4AB5FB4D" w14:textId="77777777" w:rsidR="00F61F83" w:rsidRDefault="00F61F83" w:rsidP="00F61F83">
            <w:pPr>
              <w:pStyle w:val="ListParagraph"/>
              <w:numPr>
                <w:ilvl w:val="0"/>
                <w:numId w:val="13"/>
              </w:numPr>
              <w:rPr>
                <w:sz w:val="16"/>
              </w:rPr>
            </w:pPr>
            <w:r>
              <w:rPr>
                <w:sz w:val="16"/>
              </w:rPr>
              <w:t>Complete problem statement</w:t>
            </w:r>
          </w:p>
          <w:p w14:paraId="42768ADF" w14:textId="77777777" w:rsidR="00F61F83" w:rsidRPr="00F61F83" w:rsidRDefault="00F61F83" w:rsidP="00F61F83">
            <w:pPr>
              <w:pStyle w:val="ListParagraph"/>
              <w:numPr>
                <w:ilvl w:val="0"/>
                <w:numId w:val="13"/>
              </w:numPr>
              <w:rPr>
                <w:sz w:val="16"/>
              </w:rPr>
            </w:pPr>
            <w:r>
              <w:rPr>
                <w:sz w:val="16"/>
              </w:rPr>
              <w:t>Engage with Centre for Sustainable Healthcare (CSH)</w:t>
            </w:r>
          </w:p>
        </w:tc>
        <w:tc>
          <w:tcPr>
            <w:tcW w:w="3757" w:type="dxa"/>
          </w:tcPr>
          <w:p w14:paraId="58BA54F1" w14:textId="77777777" w:rsidR="00F61F83" w:rsidRDefault="00F61F83" w:rsidP="00F61F83">
            <w:pPr>
              <w:pStyle w:val="ListParagraph"/>
              <w:numPr>
                <w:ilvl w:val="0"/>
                <w:numId w:val="13"/>
              </w:numPr>
              <w:rPr>
                <w:sz w:val="16"/>
              </w:rPr>
            </w:pPr>
            <w:r>
              <w:rPr>
                <w:sz w:val="16"/>
              </w:rPr>
              <w:t>Complete baseline audit of success forms and write up of results. (28</w:t>
            </w:r>
            <w:r w:rsidRPr="00F61F83">
              <w:rPr>
                <w:sz w:val="16"/>
                <w:vertAlign w:val="superscript"/>
              </w:rPr>
              <w:t>th</w:t>
            </w:r>
            <w:r>
              <w:rPr>
                <w:sz w:val="16"/>
              </w:rPr>
              <w:t xml:space="preserve"> Jan)</w:t>
            </w:r>
          </w:p>
          <w:p w14:paraId="7F5989C6" w14:textId="77777777" w:rsidR="00F61F83" w:rsidRDefault="00F61F83" w:rsidP="00F61F83">
            <w:pPr>
              <w:pStyle w:val="ListParagraph"/>
              <w:numPr>
                <w:ilvl w:val="0"/>
                <w:numId w:val="13"/>
              </w:numPr>
              <w:rPr>
                <w:sz w:val="16"/>
              </w:rPr>
            </w:pPr>
            <w:r>
              <w:rPr>
                <w:sz w:val="16"/>
              </w:rPr>
              <w:t xml:space="preserve">Identifying examples of good practice from CSH </w:t>
            </w:r>
          </w:p>
          <w:p w14:paraId="2907642C" w14:textId="77777777" w:rsidR="000528D1" w:rsidRPr="00F61F83" w:rsidRDefault="000528D1" w:rsidP="00F61F83">
            <w:pPr>
              <w:pStyle w:val="ListParagraph"/>
              <w:numPr>
                <w:ilvl w:val="0"/>
                <w:numId w:val="13"/>
              </w:numPr>
              <w:rPr>
                <w:sz w:val="16"/>
              </w:rPr>
            </w:pPr>
            <w:r>
              <w:rPr>
                <w:sz w:val="16"/>
              </w:rPr>
              <w:t>Baseline</w:t>
            </w:r>
            <w:r w:rsidR="0059640B">
              <w:rPr>
                <w:sz w:val="16"/>
              </w:rPr>
              <w:t xml:space="preserve"> </w:t>
            </w:r>
            <w:r w:rsidR="00BF2A85">
              <w:rPr>
                <w:sz w:val="16"/>
              </w:rPr>
              <w:t xml:space="preserve">Improvement Team </w:t>
            </w:r>
            <w:r w:rsidR="0059640B">
              <w:rPr>
                <w:sz w:val="16"/>
              </w:rPr>
              <w:t>survey.</w:t>
            </w:r>
          </w:p>
        </w:tc>
        <w:tc>
          <w:tcPr>
            <w:tcW w:w="2837" w:type="dxa"/>
          </w:tcPr>
          <w:p w14:paraId="1B9AAD66" w14:textId="77777777" w:rsidR="00F61F83" w:rsidRDefault="0059640B" w:rsidP="0059640B">
            <w:pPr>
              <w:pStyle w:val="ListParagraph"/>
              <w:numPr>
                <w:ilvl w:val="0"/>
                <w:numId w:val="13"/>
              </w:numPr>
              <w:rPr>
                <w:sz w:val="16"/>
              </w:rPr>
            </w:pPr>
            <w:r>
              <w:rPr>
                <w:sz w:val="16"/>
              </w:rPr>
              <w:t>Development of proposed intervention</w:t>
            </w:r>
          </w:p>
          <w:p w14:paraId="17FAEB7D" w14:textId="77777777" w:rsidR="00BF2A85" w:rsidRDefault="00BF2A85" w:rsidP="0059640B">
            <w:pPr>
              <w:pStyle w:val="ListParagraph"/>
              <w:numPr>
                <w:ilvl w:val="0"/>
                <w:numId w:val="13"/>
              </w:numPr>
              <w:rPr>
                <w:sz w:val="16"/>
              </w:rPr>
            </w:pPr>
            <w:r>
              <w:rPr>
                <w:sz w:val="16"/>
              </w:rPr>
              <w:t>Delivery of SusQI introduction lecture.</w:t>
            </w:r>
          </w:p>
          <w:p w14:paraId="1028CE30" w14:textId="77777777" w:rsidR="00BF2A85" w:rsidRPr="0059640B" w:rsidRDefault="00BF2A85" w:rsidP="0059640B">
            <w:pPr>
              <w:pStyle w:val="ListParagraph"/>
              <w:numPr>
                <w:ilvl w:val="0"/>
                <w:numId w:val="13"/>
              </w:numPr>
              <w:rPr>
                <w:sz w:val="16"/>
              </w:rPr>
            </w:pPr>
            <w:r>
              <w:rPr>
                <w:sz w:val="16"/>
              </w:rPr>
              <w:t xml:space="preserve">Delivery of SusQI checklist to guide inclusion. </w:t>
            </w:r>
          </w:p>
        </w:tc>
        <w:tc>
          <w:tcPr>
            <w:tcW w:w="2823" w:type="dxa"/>
          </w:tcPr>
          <w:p w14:paraId="087ACEA0" w14:textId="77777777" w:rsidR="0059640B" w:rsidRDefault="0059640B" w:rsidP="0059640B">
            <w:pPr>
              <w:pStyle w:val="ListParagraph"/>
              <w:numPr>
                <w:ilvl w:val="0"/>
                <w:numId w:val="13"/>
              </w:numPr>
              <w:rPr>
                <w:sz w:val="16"/>
              </w:rPr>
            </w:pPr>
            <w:r>
              <w:rPr>
                <w:sz w:val="16"/>
              </w:rPr>
              <w:t xml:space="preserve">Share recommendations and intervention with mentors’ team. </w:t>
            </w:r>
          </w:p>
          <w:p w14:paraId="6A5572AA" w14:textId="77777777" w:rsidR="0059640B" w:rsidRDefault="0059640B" w:rsidP="0059640B">
            <w:pPr>
              <w:pStyle w:val="ListParagraph"/>
              <w:numPr>
                <w:ilvl w:val="0"/>
                <w:numId w:val="13"/>
              </w:numPr>
              <w:rPr>
                <w:sz w:val="16"/>
              </w:rPr>
            </w:pPr>
            <w:r>
              <w:rPr>
                <w:sz w:val="16"/>
              </w:rPr>
              <w:t>Observe trial period</w:t>
            </w:r>
          </w:p>
          <w:p w14:paraId="6B1CD9D8" w14:textId="77777777" w:rsidR="0059640B" w:rsidRPr="0059640B" w:rsidRDefault="0059640B" w:rsidP="0059640B">
            <w:pPr>
              <w:pStyle w:val="ListParagraph"/>
              <w:numPr>
                <w:ilvl w:val="0"/>
                <w:numId w:val="13"/>
              </w:numPr>
              <w:rPr>
                <w:sz w:val="16"/>
              </w:rPr>
            </w:pPr>
            <w:r>
              <w:rPr>
                <w:sz w:val="16"/>
              </w:rPr>
              <w:t xml:space="preserve">Re-survey </w:t>
            </w:r>
            <w:r w:rsidR="00BF2A85">
              <w:rPr>
                <w:sz w:val="16"/>
              </w:rPr>
              <w:t>Improvement Team</w:t>
            </w:r>
            <w:r>
              <w:rPr>
                <w:sz w:val="16"/>
              </w:rPr>
              <w:t xml:space="preserve"> to establish any change. </w:t>
            </w:r>
          </w:p>
        </w:tc>
      </w:tr>
      <w:tr w:rsidR="00F61F83" w14:paraId="35F77BD5" w14:textId="77777777" w:rsidTr="005060C9">
        <w:tc>
          <w:tcPr>
            <w:tcW w:w="988" w:type="dxa"/>
          </w:tcPr>
          <w:p w14:paraId="7F384FDB" w14:textId="77777777" w:rsidR="00F61F83" w:rsidRPr="00F61F83" w:rsidRDefault="00F61F83" w:rsidP="007039A3">
            <w:pPr>
              <w:rPr>
                <w:sz w:val="16"/>
              </w:rPr>
            </w:pPr>
            <w:r w:rsidRPr="00F61F83">
              <w:rPr>
                <w:sz w:val="16"/>
              </w:rPr>
              <w:t>Key Meetings</w:t>
            </w:r>
          </w:p>
        </w:tc>
        <w:tc>
          <w:tcPr>
            <w:tcW w:w="3543" w:type="dxa"/>
          </w:tcPr>
          <w:p w14:paraId="2E5C73E7" w14:textId="77777777" w:rsidR="00F61F83" w:rsidRDefault="00F61F83" w:rsidP="00F61F83">
            <w:pPr>
              <w:pStyle w:val="ListParagraph"/>
              <w:numPr>
                <w:ilvl w:val="0"/>
                <w:numId w:val="13"/>
              </w:numPr>
              <w:rPr>
                <w:sz w:val="16"/>
              </w:rPr>
            </w:pPr>
            <w:r>
              <w:rPr>
                <w:sz w:val="16"/>
              </w:rPr>
              <w:t>Meeting with Simon, Head of Quality Improvement (13</w:t>
            </w:r>
            <w:r w:rsidRPr="00F61F83">
              <w:rPr>
                <w:sz w:val="16"/>
                <w:vertAlign w:val="superscript"/>
              </w:rPr>
              <w:t>th</w:t>
            </w:r>
            <w:r>
              <w:rPr>
                <w:sz w:val="16"/>
              </w:rPr>
              <w:t xml:space="preserve"> January)</w:t>
            </w:r>
          </w:p>
          <w:p w14:paraId="2BD73B9D" w14:textId="77777777" w:rsidR="00F61F83" w:rsidRPr="00F61F83" w:rsidRDefault="00F61F83" w:rsidP="00F61F83">
            <w:pPr>
              <w:rPr>
                <w:sz w:val="16"/>
              </w:rPr>
            </w:pPr>
          </w:p>
        </w:tc>
        <w:tc>
          <w:tcPr>
            <w:tcW w:w="3757" w:type="dxa"/>
          </w:tcPr>
          <w:p w14:paraId="7B16AF94" w14:textId="77777777" w:rsidR="00F61F83" w:rsidRDefault="00F61F83" w:rsidP="00F61F83">
            <w:pPr>
              <w:pStyle w:val="ListParagraph"/>
              <w:numPr>
                <w:ilvl w:val="0"/>
                <w:numId w:val="13"/>
              </w:numPr>
              <w:rPr>
                <w:sz w:val="16"/>
              </w:rPr>
            </w:pPr>
            <w:r>
              <w:rPr>
                <w:sz w:val="16"/>
              </w:rPr>
              <w:t xml:space="preserve">Project catch up </w:t>
            </w:r>
            <w:r w:rsidR="003C4A33">
              <w:rPr>
                <w:sz w:val="16"/>
              </w:rPr>
              <w:t>with supervisor</w:t>
            </w:r>
            <w:r>
              <w:rPr>
                <w:sz w:val="16"/>
              </w:rPr>
              <w:t xml:space="preserve"> (4</w:t>
            </w:r>
            <w:r w:rsidRPr="00F61F83">
              <w:rPr>
                <w:sz w:val="16"/>
                <w:vertAlign w:val="superscript"/>
              </w:rPr>
              <w:t>th</w:t>
            </w:r>
            <w:r>
              <w:rPr>
                <w:sz w:val="16"/>
              </w:rPr>
              <w:t xml:space="preserve"> Feb)</w:t>
            </w:r>
          </w:p>
          <w:p w14:paraId="305AADCA" w14:textId="77777777" w:rsidR="00F61F83" w:rsidRDefault="00F61F83" w:rsidP="00F61F83">
            <w:pPr>
              <w:pStyle w:val="ListParagraph"/>
              <w:numPr>
                <w:ilvl w:val="0"/>
                <w:numId w:val="13"/>
              </w:numPr>
              <w:rPr>
                <w:sz w:val="16"/>
              </w:rPr>
            </w:pPr>
            <w:r>
              <w:rPr>
                <w:sz w:val="16"/>
              </w:rPr>
              <w:t xml:space="preserve">Conduct Group intervention/workshop with </w:t>
            </w:r>
            <w:r w:rsidR="00BF2A85">
              <w:rPr>
                <w:sz w:val="16"/>
              </w:rPr>
              <w:t>Improvement Team</w:t>
            </w:r>
            <w:r>
              <w:rPr>
                <w:sz w:val="16"/>
              </w:rPr>
              <w:t xml:space="preserve"> (9</w:t>
            </w:r>
            <w:r w:rsidRPr="00F61F83">
              <w:rPr>
                <w:sz w:val="16"/>
                <w:vertAlign w:val="superscript"/>
              </w:rPr>
              <w:t>th</w:t>
            </w:r>
            <w:r>
              <w:rPr>
                <w:sz w:val="16"/>
              </w:rPr>
              <w:t xml:space="preserve"> Feb)</w:t>
            </w:r>
          </w:p>
          <w:p w14:paraId="21C9DCF3" w14:textId="77777777" w:rsidR="00F61F83" w:rsidRDefault="00F61F83" w:rsidP="00F61F83">
            <w:pPr>
              <w:pStyle w:val="ListParagraph"/>
              <w:numPr>
                <w:ilvl w:val="0"/>
                <w:numId w:val="13"/>
              </w:numPr>
              <w:rPr>
                <w:sz w:val="16"/>
              </w:rPr>
            </w:pPr>
            <w:r>
              <w:rPr>
                <w:sz w:val="16"/>
              </w:rPr>
              <w:t>Meet with the CSH for stakeholder/intervention guidance (TBC)</w:t>
            </w:r>
          </w:p>
          <w:p w14:paraId="582E2374" w14:textId="77777777" w:rsidR="003C4A33" w:rsidRDefault="003C4A33" w:rsidP="00F61F83">
            <w:pPr>
              <w:pStyle w:val="ListParagraph"/>
              <w:numPr>
                <w:ilvl w:val="0"/>
                <w:numId w:val="13"/>
              </w:numPr>
              <w:rPr>
                <w:sz w:val="16"/>
              </w:rPr>
            </w:pPr>
            <w:r>
              <w:rPr>
                <w:sz w:val="16"/>
              </w:rPr>
              <w:t xml:space="preserve">Meet with stakeholders: Completed SusQI at EKUHFT. </w:t>
            </w:r>
          </w:p>
          <w:p w14:paraId="7D12F66C" w14:textId="77777777" w:rsidR="00F61F83" w:rsidRPr="00F61F83" w:rsidRDefault="00F61F83" w:rsidP="00F61F83">
            <w:pPr>
              <w:pStyle w:val="ListParagraph"/>
              <w:rPr>
                <w:sz w:val="16"/>
              </w:rPr>
            </w:pPr>
          </w:p>
        </w:tc>
        <w:tc>
          <w:tcPr>
            <w:tcW w:w="2837" w:type="dxa"/>
          </w:tcPr>
          <w:p w14:paraId="5B8492E8" w14:textId="77777777" w:rsidR="00F61F83" w:rsidRPr="00BF2A85" w:rsidRDefault="00BF2A85" w:rsidP="00BF2A85">
            <w:pPr>
              <w:pStyle w:val="ListParagraph"/>
              <w:numPr>
                <w:ilvl w:val="0"/>
                <w:numId w:val="13"/>
              </w:numPr>
              <w:rPr>
                <w:sz w:val="16"/>
              </w:rPr>
            </w:pPr>
            <w:r>
              <w:rPr>
                <w:sz w:val="16"/>
              </w:rPr>
              <w:t>Improvement Team meeting 23</w:t>
            </w:r>
            <w:r w:rsidRPr="00BF2A85">
              <w:rPr>
                <w:sz w:val="16"/>
                <w:vertAlign w:val="superscript"/>
              </w:rPr>
              <w:t>rd</w:t>
            </w:r>
            <w:r>
              <w:rPr>
                <w:sz w:val="16"/>
              </w:rPr>
              <w:t xml:space="preserve"> March to deliver interventions and get feedback on pilot. </w:t>
            </w:r>
          </w:p>
        </w:tc>
        <w:tc>
          <w:tcPr>
            <w:tcW w:w="2823" w:type="dxa"/>
          </w:tcPr>
          <w:p w14:paraId="0804A9EC" w14:textId="77777777" w:rsidR="00F61F83" w:rsidRPr="00F61F83" w:rsidRDefault="00F61F83" w:rsidP="007039A3">
            <w:pPr>
              <w:rPr>
                <w:sz w:val="16"/>
              </w:rPr>
            </w:pPr>
          </w:p>
        </w:tc>
      </w:tr>
      <w:tr w:rsidR="00F61F83" w14:paraId="3341D66E" w14:textId="77777777" w:rsidTr="005060C9">
        <w:tc>
          <w:tcPr>
            <w:tcW w:w="988" w:type="dxa"/>
          </w:tcPr>
          <w:p w14:paraId="72565D96" w14:textId="77777777" w:rsidR="00F61F83" w:rsidRPr="00F61F83" w:rsidRDefault="00F61F83" w:rsidP="00F61F83">
            <w:pPr>
              <w:rPr>
                <w:sz w:val="16"/>
              </w:rPr>
            </w:pPr>
            <w:r w:rsidRPr="00F61F83">
              <w:rPr>
                <w:sz w:val="16"/>
              </w:rPr>
              <w:t>End Products</w:t>
            </w:r>
          </w:p>
        </w:tc>
        <w:tc>
          <w:tcPr>
            <w:tcW w:w="3543" w:type="dxa"/>
          </w:tcPr>
          <w:p w14:paraId="76514112" w14:textId="77777777" w:rsidR="00F61F83" w:rsidRDefault="00F61F83" w:rsidP="00F61F83">
            <w:pPr>
              <w:pStyle w:val="ListParagraph"/>
              <w:numPr>
                <w:ilvl w:val="0"/>
                <w:numId w:val="13"/>
              </w:numPr>
              <w:rPr>
                <w:sz w:val="16"/>
              </w:rPr>
            </w:pPr>
            <w:r>
              <w:rPr>
                <w:sz w:val="16"/>
              </w:rPr>
              <w:t xml:space="preserve">Key population identified. </w:t>
            </w:r>
          </w:p>
          <w:p w14:paraId="263A39DD" w14:textId="77777777" w:rsidR="00F61F83" w:rsidRDefault="00F61F83" w:rsidP="00F61F83">
            <w:pPr>
              <w:pStyle w:val="ListParagraph"/>
              <w:numPr>
                <w:ilvl w:val="0"/>
                <w:numId w:val="13"/>
              </w:numPr>
              <w:rPr>
                <w:sz w:val="16"/>
              </w:rPr>
            </w:pPr>
            <w:r>
              <w:rPr>
                <w:sz w:val="16"/>
              </w:rPr>
              <w:t xml:space="preserve">QIP Process mapped. </w:t>
            </w:r>
          </w:p>
          <w:p w14:paraId="22CAA389" w14:textId="77777777" w:rsidR="00F61F83" w:rsidRPr="00F61F83" w:rsidRDefault="00F61F83" w:rsidP="00F61F83">
            <w:pPr>
              <w:pStyle w:val="ListParagraph"/>
              <w:numPr>
                <w:ilvl w:val="0"/>
                <w:numId w:val="13"/>
              </w:numPr>
              <w:rPr>
                <w:sz w:val="16"/>
              </w:rPr>
            </w:pPr>
            <w:r>
              <w:rPr>
                <w:sz w:val="16"/>
              </w:rPr>
              <w:t xml:space="preserve">Baseline audit scoped. </w:t>
            </w:r>
          </w:p>
        </w:tc>
        <w:tc>
          <w:tcPr>
            <w:tcW w:w="3757" w:type="dxa"/>
          </w:tcPr>
          <w:p w14:paraId="52F086DA" w14:textId="77777777" w:rsidR="00F61F83" w:rsidRDefault="000528D1" w:rsidP="00F61F83">
            <w:pPr>
              <w:pStyle w:val="ListParagraph"/>
              <w:numPr>
                <w:ilvl w:val="0"/>
                <w:numId w:val="13"/>
              </w:numPr>
              <w:rPr>
                <w:sz w:val="16"/>
              </w:rPr>
            </w:pPr>
            <w:r>
              <w:rPr>
                <w:sz w:val="16"/>
              </w:rPr>
              <w:t>Baseline audit</w:t>
            </w:r>
            <w:r w:rsidR="0059640B">
              <w:rPr>
                <w:sz w:val="16"/>
              </w:rPr>
              <w:t xml:space="preserve"> completed (understanding of current inclusion)</w:t>
            </w:r>
          </w:p>
          <w:p w14:paraId="707228FE" w14:textId="77777777" w:rsidR="000528D1" w:rsidRDefault="0059640B" w:rsidP="00F61F83">
            <w:pPr>
              <w:pStyle w:val="ListParagraph"/>
              <w:numPr>
                <w:ilvl w:val="0"/>
                <w:numId w:val="13"/>
              </w:numPr>
              <w:rPr>
                <w:sz w:val="16"/>
              </w:rPr>
            </w:pPr>
            <w:r>
              <w:rPr>
                <w:sz w:val="16"/>
              </w:rPr>
              <w:t xml:space="preserve">Baseline confidence/experience of </w:t>
            </w:r>
            <w:r w:rsidR="00BF2A85">
              <w:rPr>
                <w:sz w:val="16"/>
              </w:rPr>
              <w:t>Improvement Team</w:t>
            </w:r>
          </w:p>
          <w:p w14:paraId="669B8345" w14:textId="77777777" w:rsidR="003C4A33" w:rsidRPr="00F61F83" w:rsidRDefault="003C4A33" w:rsidP="00F61F83">
            <w:pPr>
              <w:pStyle w:val="ListParagraph"/>
              <w:numPr>
                <w:ilvl w:val="0"/>
                <w:numId w:val="13"/>
              </w:numPr>
              <w:rPr>
                <w:sz w:val="16"/>
              </w:rPr>
            </w:pPr>
            <w:r>
              <w:rPr>
                <w:sz w:val="16"/>
              </w:rPr>
              <w:t xml:space="preserve">Stakeholder engagement and key findings written up. </w:t>
            </w:r>
          </w:p>
        </w:tc>
        <w:tc>
          <w:tcPr>
            <w:tcW w:w="2837" w:type="dxa"/>
          </w:tcPr>
          <w:p w14:paraId="7707D697" w14:textId="77777777" w:rsidR="00F61F83" w:rsidRPr="0059640B" w:rsidRDefault="0059640B" w:rsidP="0059640B">
            <w:pPr>
              <w:pStyle w:val="ListParagraph"/>
              <w:numPr>
                <w:ilvl w:val="0"/>
                <w:numId w:val="13"/>
              </w:numPr>
              <w:rPr>
                <w:sz w:val="16"/>
              </w:rPr>
            </w:pPr>
            <w:r>
              <w:rPr>
                <w:sz w:val="16"/>
              </w:rPr>
              <w:t>Proposed intervention planned and ready for delivery</w:t>
            </w:r>
          </w:p>
        </w:tc>
        <w:tc>
          <w:tcPr>
            <w:tcW w:w="2823" w:type="dxa"/>
          </w:tcPr>
          <w:p w14:paraId="02C0479C" w14:textId="77777777" w:rsidR="00F61F83" w:rsidRDefault="0059640B" w:rsidP="0059640B">
            <w:pPr>
              <w:pStyle w:val="ListParagraph"/>
              <w:numPr>
                <w:ilvl w:val="0"/>
                <w:numId w:val="13"/>
              </w:numPr>
              <w:rPr>
                <w:sz w:val="16"/>
              </w:rPr>
            </w:pPr>
            <w:r>
              <w:rPr>
                <w:sz w:val="16"/>
              </w:rPr>
              <w:t xml:space="preserve">Final Report </w:t>
            </w:r>
          </w:p>
          <w:p w14:paraId="2587DC9A" w14:textId="77777777" w:rsidR="0059640B" w:rsidRDefault="0059640B" w:rsidP="0059640B">
            <w:pPr>
              <w:pStyle w:val="ListParagraph"/>
              <w:numPr>
                <w:ilvl w:val="0"/>
                <w:numId w:val="13"/>
              </w:numPr>
              <w:rPr>
                <w:sz w:val="16"/>
              </w:rPr>
            </w:pPr>
            <w:r>
              <w:rPr>
                <w:sz w:val="16"/>
              </w:rPr>
              <w:t xml:space="preserve">Results of change in confidence of QIP mentors. </w:t>
            </w:r>
          </w:p>
          <w:p w14:paraId="6826CAE0" w14:textId="77777777" w:rsidR="00BF2A85" w:rsidRPr="0059640B" w:rsidRDefault="00BF2A85" w:rsidP="0059640B">
            <w:pPr>
              <w:pStyle w:val="ListParagraph"/>
              <w:numPr>
                <w:ilvl w:val="0"/>
                <w:numId w:val="13"/>
              </w:numPr>
              <w:rPr>
                <w:sz w:val="16"/>
              </w:rPr>
            </w:pPr>
            <w:r>
              <w:rPr>
                <w:sz w:val="16"/>
              </w:rPr>
              <w:t>Indication of change to practice</w:t>
            </w:r>
          </w:p>
        </w:tc>
      </w:tr>
    </w:tbl>
    <w:p w14:paraId="7FCC18BE" w14:textId="77777777" w:rsidR="007039A3" w:rsidRPr="007039A3" w:rsidRDefault="007039A3" w:rsidP="007039A3"/>
    <w:p w14:paraId="53DE289C" w14:textId="77777777" w:rsidR="003A32E3" w:rsidRPr="003A32E3" w:rsidRDefault="003A32E3" w:rsidP="003A32E3"/>
    <w:p w14:paraId="0CC8BE9E" w14:textId="77777777" w:rsidR="00F61F83" w:rsidRDefault="00F61F83" w:rsidP="003A32E3">
      <w:pPr>
        <w:pStyle w:val="Heading2"/>
        <w:sectPr w:rsidR="00F61F83" w:rsidSect="00F61F83">
          <w:pgSz w:w="16838" w:h="11906" w:orient="landscape"/>
          <w:pgMar w:top="1440" w:right="1440" w:bottom="1440" w:left="1440" w:header="709" w:footer="709" w:gutter="0"/>
          <w:cols w:space="708"/>
          <w:docGrid w:linePitch="360"/>
        </w:sectPr>
      </w:pPr>
    </w:p>
    <w:p w14:paraId="0C4573FD" w14:textId="77777777" w:rsidR="002A71A2" w:rsidRPr="002A71A2" w:rsidRDefault="002A71A2" w:rsidP="00520CA6">
      <w:pPr>
        <w:pStyle w:val="Heading2"/>
      </w:pPr>
      <w:bookmarkStart w:id="6" w:name="_Toc227022453"/>
      <w:r w:rsidRPr="002A71A2">
        <w:lastRenderedPageBreak/>
        <w:t>Literature / Background Reading.</w:t>
      </w:r>
      <w:bookmarkEnd w:id="6"/>
      <w:r w:rsidRPr="002A71A2">
        <w:t xml:space="preserve"> </w:t>
      </w:r>
    </w:p>
    <w:p w14:paraId="5F7F7A6A" w14:textId="77777777" w:rsidR="002A71A2" w:rsidRPr="002A71A2" w:rsidRDefault="002A71A2" w:rsidP="00C51C6A">
      <w:pPr>
        <w:pStyle w:val="Heading3"/>
      </w:pPr>
      <w:bookmarkStart w:id="7" w:name="_Toc227022454"/>
      <w:r w:rsidRPr="002A71A2">
        <w:t>Background literature – importance, susQI</w:t>
      </w:r>
      <w:bookmarkEnd w:id="7"/>
      <w:r w:rsidRPr="002A71A2">
        <w:t xml:space="preserve"> </w:t>
      </w:r>
    </w:p>
    <w:p w14:paraId="3888159E" w14:textId="77777777" w:rsidR="002A71A2" w:rsidRDefault="002A71A2" w:rsidP="007451EE">
      <w:pPr>
        <w:pStyle w:val="Heading4"/>
      </w:pPr>
      <w:r w:rsidRPr="00716CBE">
        <w:t>Royal</w:t>
      </w:r>
      <w:r w:rsidRPr="002A71A2">
        <w:t xml:space="preserve"> College of Surgeons - </w:t>
      </w:r>
      <w:r w:rsidRPr="00716CBE">
        <w:t>Trainees'</w:t>
      </w:r>
      <w:r w:rsidRPr="002A71A2">
        <w:t xml:space="preserve"> guide to a quality improvement project. Sustainability - Chapter 5. </w:t>
      </w:r>
      <w:r w:rsidRPr="00716CBE">
        <w:t>Sustainability</w:t>
      </w:r>
      <w:r w:rsidRPr="002A71A2">
        <w:t xml:space="preserve"> refers to ensuring that the change that is implemented is maintained once the members of the team have completed their projects. (</w:t>
      </w:r>
      <w:hyperlink r:id="rId31" w:tgtFrame="_blank" w:history="1">
        <w:r w:rsidRPr="002A71A2">
          <w:rPr>
            <w:rStyle w:val="Hyperlink"/>
          </w:rPr>
          <w:t>Link</w:t>
        </w:r>
      </w:hyperlink>
      <w:r w:rsidRPr="002A71A2">
        <w:t>)</w:t>
      </w:r>
    </w:p>
    <w:p w14:paraId="57B21175" w14:textId="77777777" w:rsidR="00716CBE" w:rsidRPr="00716CBE" w:rsidRDefault="00716CBE" w:rsidP="00716CBE"/>
    <w:p w14:paraId="6554A525" w14:textId="77777777" w:rsidR="007451EE" w:rsidRDefault="002A71A2" w:rsidP="007451EE">
      <w:pPr>
        <w:pStyle w:val="Heading4"/>
      </w:pPr>
      <w:r w:rsidRPr="002A71A2">
        <w:t xml:space="preserve">Royal College of General Practitioners - WPBA </w:t>
      </w:r>
      <w:r w:rsidR="007451EE">
        <w:t>–</w:t>
      </w:r>
      <w:r w:rsidRPr="002A71A2">
        <w:t xml:space="preserve"> </w:t>
      </w:r>
    </w:p>
    <w:p w14:paraId="7B506F01" w14:textId="77777777" w:rsidR="002A71A2" w:rsidRDefault="002A71A2" w:rsidP="007451EE">
      <w:pPr>
        <w:ind w:left="714"/>
      </w:pPr>
      <w:r w:rsidRPr="002A71A2">
        <w:t>Quality improvement Project (</w:t>
      </w:r>
      <w:hyperlink r:id="rId32" w:tgtFrame="_blank" w:history="1">
        <w:r w:rsidRPr="002A71A2">
          <w:rPr>
            <w:rStyle w:val="Hyperlink"/>
          </w:rPr>
          <w:t>link</w:t>
        </w:r>
      </w:hyperlink>
      <w:r w:rsidRPr="002A71A2">
        <w:t xml:space="preserve">) - 'important to </w:t>
      </w:r>
      <w:r w:rsidRPr="00716CBE">
        <w:t>evaluate</w:t>
      </w:r>
      <w:r w:rsidRPr="002A71A2">
        <w:t xml:space="preserve"> an improvement holistically, i.e not just looking at the patient outcomes, financial savings, additional social value and environmental impact. An approach called 'sustainable value'. 'When thinking about potential solutions, consider the principles of sustainable healthcare to design holistic sustainable improvement. </w:t>
      </w:r>
    </w:p>
    <w:p w14:paraId="57BF6F26" w14:textId="77777777" w:rsidR="00716CBE" w:rsidRPr="00716CBE" w:rsidRDefault="00716CBE" w:rsidP="00716CBE"/>
    <w:p w14:paraId="6617F352" w14:textId="77777777" w:rsidR="007451EE" w:rsidRDefault="002A71A2" w:rsidP="007451EE">
      <w:pPr>
        <w:pStyle w:val="Heading4"/>
      </w:pPr>
      <w:r w:rsidRPr="002A71A2">
        <w:t xml:space="preserve">Health and Social Care Act 2022 - 'Delivering a 'Net Zero' NHS - July 2022. </w:t>
      </w:r>
    </w:p>
    <w:p w14:paraId="3FDE8DEB" w14:textId="77777777" w:rsidR="002A71A2" w:rsidRDefault="002A71A2" w:rsidP="007451EE">
      <w:pPr>
        <w:ind w:left="714"/>
      </w:pPr>
      <w:r w:rsidRPr="002A71A2">
        <w:t xml:space="preserve">Outlines the responsibility and commitment of the NHS to achieve net zero. </w:t>
      </w:r>
    </w:p>
    <w:p w14:paraId="57F7573F" w14:textId="77777777" w:rsidR="00716CBE" w:rsidRDefault="00716CBE" w:rsidP="00716CBE">
      <w:pPr>
        <w:pStyle w:val="ListParagraph"/>
      </w:pPr>
    </w:p>
    <w:p w14:paraId="46DAF4C9" w14:textId="77777777" w:rsidR="002A71A2" w:rsidRDefault="002A71A2" w:rsidP="007451EE">
      <w:pPr>
        <w:pStyle w:val="Heading4"/>
      </w:pPr>
      <w:r w:rsidRPr="002A71A2">
        <w:t xml:space="preserve">EKHUFT - Clinical audit web pages: </w:t>
      </w:r>
      <w:hyperlink r:id="rId33" w:history="1">
        <w:r w:rsidR="00716CBE" w:rsidRPr="00D5546D">
          <w:rPr>
            <w:rStyle w:val="Hyperlink"/>
          </w:rPr>
          <w:t>https://staff.ekhuft.nhs.uk/Interact/Pages/Content/Document.aspx?id=2385</w:t>
        </w:r>
      </w:hyperlink>
    </w:p>
    <w:p w14:paraId="58EDA83F" w14:textId="77777777" w:rsidR="00716CBE" w:rsidRPr="002A71A2" w:rsidRDefault="00716CBE" w:rsidP="00716CBE"/>
    <w:p w14:paraId="305C61F0" w14:textId="77777777" w:rsidR="002A71A2" w:rsidRPr="002A71A2" w:rsidRDefault="002A71A2" w:rsidP="007451EE">
      <w:pPr>
        <w:pStyle w:val="Heading4"/>
      </w:pPr>
      <w:r w:rsidRPr="002A71A2">
        <w:t xml:space="preserve">Centre for Sustainable Healthcare - SusQi - </w:t>
      </w:r>
      <w:hyperlink r:id="rId34" w:tgtFrame="_blank" w:history="1">
        <w:r w:rsidRPr="002A71A2">
          <w:rPr>
            <w:rStyle w:val="Hyperlink"/>
          </w:rPr>
          <w:t>https://www.susqi.org/about-4</w:t>
        </w:r>
      </w:hyperlink>
    </w:p>
    <w:p w14:paraId="632600FD" w14:textId="77777777" w:rsidR="00716CBE" w:rsidRDefault="00716CBE" w:rsidP="00716CBE">
      <w:pPr>
        <w:pStyle w:val="ListParagraph"/>
      </w:pPr>
    </w:p>
    <w:p w14:paraId="4400CAB8" w14:textId="77777777" w:rsidR="002A71A2" w:rsidRDefault="00716CBE" w:rsidP="007451EE">
      <w:pPr>
        <w:pStyle w:val="Heading4"/>
      </w:pPr>
      <w:r>
        <w:t xml:space="preserve">Josephs research on SusQI (unpublished). N=31 foundation doctors. Questions on attitudes towards sustainability in QIP. </w:t>
      </w:r>
    </w:p>
    <w:p w14:paraId="6D6DC264" w14:textId="77777777" w:rsidR="00716CBE" w:rsidRPr="00716CBE" w:rsidRDefault="00716CBE" w:rsidP="00716CBE">
      <w:pPr>
        <w:spacing w:line="240" w:lineRule="auto"/>
        <w:ind w:left="720"/>
        <w:rPr>
          <w:rFonts w:ascii="Calibri" w:eastAsia="Times New Roman" w:hAnsi="Calibri" w:cs="Calibri"/>
          <w:i/>
          <w:color w:val="000000"/>
          <w:lang w:eastAsia="en-GB"/>
        </w:rPr>
      </w:pPr>
      <w:r w:rsidRPr="00716CBE">
        <w:rPr>
          <w:rFonts w:ascii="Calibri" w:eastAsia="Times New Roman" w:hAnsi="Calibri" w:cs="Calibri"/>
          <w:i/>
          <w:color w:val="000000"/>
          <w:lang w:eastAsia="en-GB"/>
        </w:rPr>
        <w:t xml:space="preserve">Would you like to include sustainable considerations in your QIP. Pre: 17 Post: 30. </w:t>
      </w:r>
    </w:p>
    <w:p w14:paraId="26C77675" w14:textId="77777777" w:rsidR="00716CBE" w:rsidRPr="00716CBE" w:rsidRDefault="00716CBE" w:rsidP="00716CBE">
      <w:pPr>
        <w:spacing w:line="240" w:lineRule="auto"/>
        <w:ind w:left="720"/>
        <w:rPr>
          <w:rFonts w:ascii="Calibri" w:eastAsia="Times New Roman" w:hAnsi="Calibri" w:cs="Calibri"/>
          <w:i/>
          <w:color w:val="000000"/>
          <w:lang w:eastAsia="en-GB"/>
        </w:rPr>
      </w:pPr>
      <w:r w:rsidRPr="00716CBE">
        <w:rPr>
          <w:rFonts w:ascii="Calibri" w:eastAsia="Times New Roman" w:hAnsi="Calibri" w:cs="Calibri"/>
          <w:i/>
          <w:color w:val="000000"/>
          <w:lang w:eastAsia="en-GB"/>
        </w:rPr>
        <w:t xml:space="preserve">Do you currently feel able to, or empowered to, include sustainable practices in your QIP? Pre: 4. Post: 24. </w:t>
      </w:r>
    </w:p>
    <w:p w14:paraId="4D183135" w14:textId="77777777" w:rsidR="00716CBE" w:rsidRPr="00716CBE" w:rsidRDefault="00716CBE" w:rsidP="00716CBE">
      <w:pPr>
        <w:spacing w:line="240" w:lineRule="auto"/>
        <w:ind w:left="720"/>
        <w:rPr>
          <w:rFonts w:ascii="Calibri" w:eastAsia="Times New Roman" w:hAnsi="Calibri" w:cs="Calibri"/>
          <w:i/>
          <w:color w:val="000000"/>
          <w:lang w:eastAsia="en-GB"/>
        </w:rPr>
      </w:pPr>
      <w:r w:rsidRPr="00716CBE">
        <w:rPr>
          <w:rFonts w:ascii="Calibri" w:eastAsia="Times New Roman" w:hAnsi="Calibri" w:cs="Calibri"/>
          <w:i/>
          <w:color w:val="000000"/>
          <w:lang w:eastAsia="en-GB"/>
        </w:rPr>
        <w:t xml:space="preserve">I am comfortable with creating a process map as part of a QIP. Pre: 6 Post: 30 (agree or strongly agree). </w:t>
      </w:r>
    </w:p>
    <w:p w14:paraId="34249BC4" w14:textId="77777777" w:rsidR="00716CBE" w:rsidRPr="00716CBE" w:rsidRDefault="00716CBE" w:rsidP="00716CBE">
      <w:pPr>
        <w:spacing w:line="240" w:lineRule="auto"/>
        <w:ind w:left="720"/>
        <w:rPr>
          <w:rFonts w:ascii="Calibri" w:eastAsia="Times New Roman" w:hAnsi="Calibri" w:cs="Calibri"/>
          <w:i/>
          <w:color w:val="000000"/>
          <w:lang w:eastAsia="en-GB"/>
        </w:rPr>
      </w:pPr>
      <w:r w:rsidRPr="00716CBE">
        <w:rPr>
          <w:rFonts w:ascii="Calibri" w:eastAsia="Times New Roman" w:hAnsi="Calibri" w:cs="Calibri"/>
          <w:i/>
          <w:color w:val="000000"/>
          <w:lang w:eastAsia="en-GB"/>
        </w:rPr>
        <w:t xml:space="preserve">I am comfortable with considering social, financial and environmental impacts of proposed changes within QIPs. Pre: 18. Post 28. (Agree or strongly agree). </w:t>
      </w:r>
    </w:p>
    <w:p w14:paraId="7B787C0D" w14:textId="77777777" w:rsidR="00716CBE" w:rsidRPr="00716CBE" w:rsidRDefault="00716CBE" w:rsidP="00716CBE">
      <w:pPr>
        <w:spacing w:line="240" w:lineRule="auto"/>
        <w:ind w:left="720"/>
        <w:rPr>
          <w:rFonts w:ascii="Calibri" w:eastAsia="Times New Roman" w:hAnsi="Calibri" w:cs="Calibri"/>
          <w:i/>
          <w:color w:val="000000"/>
          <w:lang w:eastAsia="en-GB"/>
        </w:rPr>
      </w:pPr>
    </w:p>
    <w:p w14:paraId="583BF45C" w14:textId="77777777" w:rsidR="00716CBE" w:rsidRPr="00716CBE" w:rsidRDefault="00716CBE" w:rsidP="00716CBE">
      <w:pPr>
        <w:spacing w:line="240" w:lineRule="auto"/>
        <w:rPr>
          <w:rFonts w:ascii="Calibri" w:eastAsia="Times New Roman" w:hAnsi="Calibri" w:cs="Calibri"/>
          <w:color w:val="000000"/>
          <w:lang w:eastAsia="en-GB"/>
        </w:rPr>
      </w:pPr>
    </w:p>
    <w:p w14:paraId="0F1A4E02" w14:textId="77777777" w:rsidR="00716CBE" w:rsidRDefault="004842EF" w:rsidP="00C51C6A">
      <w:pPr>
        <w:pStyle w:val="Heading3"/>
        <w:rPr>
          <w:lang w:eastAsia="en-GB"/>
        </w:rPr>
      </w:pPr>
      <w:bookmarkStart w:id="8" w:name="_Toc227022455"/>
      <w:r>
        <w:rPr>
          <w:lang w:eastAsia="en-GB"/>
        </w:rPr>
        <w:t>Policy</w:t>
      </w:r>
      <w:bookmarkEnd w:id="8"/>
    </w:p>
    <w:p w14:paraId="7F2F5B5E" w14:textId="77777777" w:rsidR="004842EF" w:rsidRDefault="004842EF" w:rsidP="004842EF">
      <w:pPr>
        <w:rPr>
          <w:lang w:eastAsia="en-GB"/>
        </w:rPr>
      </w:pPr>
      <w:r>
        <w:rPr>
          <w:lang w:eastAsia="en-GB"/>
        </w:rPr>
        <w:t xml:space="preserve">Review of current EKHUFT quality improvement / environmental sustainability policy. </w:t>
      </w:r>
    </w:p>
    <w:p w14:paraId="56D131A3" w14:textId="77777777" w:rsidR="004842EF" w:rsidRDefault="004842EF" w:rsidP="004842EF">
      <w:pPr>
        <w:rPr>
          <w:lang w:eastAsia="en-GB"/>
        </w:rPr>
      </w:pPr>
      <w:r>
        <w:rPr>
          <w:lang w:eastAsia="en-GB"/>
        </w:rPr>
        <w:t xml:space="preserve">Search strategy – review of policy centre for ‘quality improvement’, ‘improvement’, ‘green plan’, ‘We Care Improvement’, ‘Clinical audit policy’, ‘QI strategy’, ‘Quality account’, ‘Net Zero Plan’, ‘Sustainability Strategy’. </w:t>
      </w:r>
    </w:p>
    <w:p w14:paraId="326A2A3C" w14:textId="77777777" w:rsidR="00131FC8" w:rsidRDefault="00131FC8" w:rsidP="004842EF">
      <w:pPr>
        <w:rPr>
          <w:lang w:eastAsia="en-GB"/>
        </w:rPr>
      </w:pPr>
    </w:p>
    <w:p w14:paraId="2DE3087B" w14:textId="77777777" w:rsidR="00131FC8" w:rsidRPr="007451EE" w:rsidRDefault="00131FC8" w:rsidP="007451EE">
      <w:pPr>
        <w:pStyle w:val="Heading4"/>
      </w:pPr>
      <w:r w:rsidRPr="007451EE">
        <w:t xml:space="preserve">Clinical Audit for Improvement Policy. Version 6. Issued November 2025. </w:t>
      </w:r>
    </w:p>
    <w:p w14:paraId="79C91180" w14:textId="77777777" w:rsidR="00131FC8" w:rsidRDefault="00131FC8" w:rsidP="00131FC8">
      <w:pPr>
        <w:pStyle w:val="ListParagraph"/>
        <w:numPr>
          <w:ilvl w:val="1"/>
          <w:numId w:val="4"/>
        </w:numPr>
        <w:rPr>
          <w:lang w:eastAsia="en-GB"/>
        </w:rPr>
      </w:pPr>
      <w:r>
        <w:rPr>
          <w:lang w:eastAsia="en-GB"/>
        </w:rPr>
        <w:t xml:space="preserve">Policy defines clinical audit and highlights what is required to undertake audit at EKHUFT. </w:t>
      </w:r>
    </w:p>
    <w:p w14:paraId="31B14BE5" w14:textId="77777777" w:rsidR="00131FC8" w:rsidRDefault="00131FC8" w:rsidP="00131FC8">
      <w:pPr>
        <w:ind w:left="360"/>
        <w:rPr>
          <w:lang w:eastAsia="en-GB"/>
        </w:rPr>
      </w:pPr>
      <w:r>
        <w:rPr>
          <w:lang w:eastAsia="en-GB"/>
        </w:rPr>
        <w:t xml:space="preserve">2.3 Trust provides advice and assistant to clinicians completing audit with assistance from appropriately trained and experienced CAID staff. </w:t>
      </w:r>
    </w:p>
    <w:p w14:paraId="79B95559" w14:textId="77777777" w:rsidR="00131FC8" w:rsidRDefault="00131FC8" w:rsidP="00131FC8">
      <w:pPr>
        <w:ind w:left="360"/>
        <w:rPr>
          <w:lang w:eastAsia="en-GB"/>
        </w:rPr>
      </w:pPr>
      <w:r>
        <w:rPr>
          <w:lang w:eastAsia="en-GB"/>
        </w:rPr>
        <w:lastRenderedPageBreak/>
        <w:t>3.2 – defines audit as ‘</w:t>
      </w:r>
      <w:r w:rsidR="00627B55">
        <w:rPr>
          <w:lang w:eastAsia="en-GB"/>
        </w:rPr>
        <w:t xml:space="preserve">quality improvement cycle that involves measurement of the effectiveness of healthcare against agreed and proven standards of high quality. </w:t>
      </w:r>
    </w:p>
    <w:p w14:paraId="560C2A45" w14:textId="77777777" w:rsidR="00131FC8" w:rsidRDefault="00627B55" w:rsidP="00131FC8">
      <w:pPr>
        <w:ind w:left="360"/>
        <w:rPr>
          <w:lang w:eastAsia="en-GB"/>
        </w:rPr>
      </w:pPr>
      <w:r>
        <w:rPr>
          <w:lang w:eastAsia="en-GB"/>
        </w:rPr>
        <w:t xml:space="preserve">3.3 – definition of clinical audit standards – quantifiable statements detailing the specific aspects of patient care and/or management to measure current practice against evidence of best practice. </w:t>
      </w:r>
    </w:p>
    <w:p w14:paraId="2BBE8B55" w14:textId="77777777" w:rsidR="00627B55" w:rsidRDefault="00627B55" w:rsidP="00131FC8">
      <w:pPr>
        <w:ind w:left="360"/>
        <w:rPr>
          <w:lang w:eastAsia="en-GB"/>
        </w:rPr>
      </w:pPr>
      <w:r>
        <w:rPr>
          <w:lang w:eastAsia="en-GB"/>
        </w:rPr>
        <w:t>4.1 – purpose of policy – “to set out a framework for the conduct of clinical audit for improvement within the Trust and outlines the principles, roles, responsibilities and practices which the Trust will follow in auditing clinical practice”.</w:t>
      </w:r>
    </w:p>
    <w:p w14:paraId="47F415CB" w14:textId="77777777" w:rsidR="00627B55" w:rsidRDefault="00627B55" w:rsidP="00627B55">
      <w:pPr>
        <w:ind w:left="360"/>
        <w:rPr>
          <w:lang w:eastAsia="en-GB"/>
        </w:rPr>
      </w:pPr>
      <w:r>
        <w:rPr>
          <w:lang w:eastAsia="en-GB"/>
        </w:rPr>
        <w:t xml:space="preserve">5. Section 5 Duties Roles and Responsibilities – Listed roles of doctors – however, no inclusion or requirement of a ‘supervisor’ – QIP are completed by a project lead, and the Speciality Clinical Audit Lead – leads audit within their department. Responsible for the clinical audit programme, including registration, progression of all projects and actions. Approving or declining clinical audit proposals in line with their speciality clinical audit programme and best practice criteria.  </w:t>
      </w:r>
      <w:r w:rsidR="007451EE">
        <w:rPr>
          <w:lang w:eastAsia="en-GB"/>
        </w:rPr>
        <w:t>.</w:t>
      </w:r>
    </w:p>
    <w:p w14:paraId="79F4E562" w14:textId="77777777" w:rsidR="007451EE" w:rsidRDefault="007451EE" w:rsidP="00627B55">
      <w:pPr>
        <w:ind w:left="360"/>
        <w:rPr>
          <w:lang w:eastAsia="en-GB"/>
        </w:rPr>
      </w:pPr>
      <w:r>
        <w:rPr>
          <w:lang w:eastAsia="en-GB"/>
        </w:rPr>
        <w:t xml:space="preserve">6. Section 6 – Specific Requirements for Clinical Audit. </w:t>
      </w:r>
    </w:p>
    <w:p w14:paraId="4310DC3C" w14:textId="77777777" w:rsidR="007451EE" w:rsidRDefault="007451EE" w:rsidP="007451EE">
      <w:pPr>
        <w:ind w:left="360"/>
        <w:rPr>
          <w:lang w:eastAsia="en-GB"/>
        </w:rPr>
      </w:pPr>
      <w:r>
        <w:rPr>
          <w:lang w:eastAsia="en-GB"/>
        </w:rPr>
        <w:t>6.4 Programme of Clinical Audit Activity – the trust will develop and maintain an annual clinical audit programme. This is developed by the clinical audit for improvement department managers, in collaboration with clinical specialities and care groups. The for audit plan is developed between May and July each year. Audit year changing this year 1</w:t>
      </w:r>
      <w:r w:rsidRPr="007451EE">
        <w:rPr>
          <w:vertAlign w:val="superscript"/>
          <w:lang w:eastAsia="en-GB"/>
        </w:rPr>
        <w:t>st</w:t>
      </w:r>
      <w:r>
        <w:rPr>
          <w:lang w:eastAsia="en-GB"/>
        </w:rPr>
        <w:t xml:space="preserve"> April. </w:t>
      </w:r>
    </w:p>
    <w:p w14:paraId="78DDB865" w14:textId="77777777" w:rsidR="007451EE" w:rsidRDefault="007451EE" w:rsidP="007451EE">
      <w:pPr>
        <w:ind w:left="360"/>
        <w:rPr>
          <w:lang w:eastAsia="en-GB"/>
        </w:rPr>
      </w:pPr>
      <w:r>
        <w:rPr>
          <w:lang w:eastAsia="en-GB"/>
        </w:rPr>
        <w:t xml:space="preserve">6.4.2 – the audit programme will reflect key national and local drivers with priority given to audits related to… including – directive from Trust high level committee. Trust True North Objectives. </w:t>
      </w:r>
    </w:p>
    <w:p w14:paraId="6CF7E948" w14:textId="77777777" w:rsidR="007451EE" w:rsidRDefault="007451EE" w:rsidP="007451EE">
      <w:pPr>
        <w:ind w:left="360"/>
        <w:rPr>
          <w:lang w:eastAsia="en-GB"/>
        </w:rPr>
      </w:pPr>
      <w:r>
        <w:rPr>
          <w:lang w:eastAsia="en-GB"/>
        </w:rPr>
        <w:t xml:space="preserve">6.4.3 – forward audit plan will be agreed by clinical specialities then shared with the ICB. </w:t>
      </w:r>
    </w:p>
    <w:p w14:paraId="7DBD7340" w14:textId="77777777" w:rsidR="007451EE" w:rsidRDefault="00E438D5" w:rsidP="007451EE">
      <w:pPr>
        <w:ind w:left="360"/>
        <w:rPr>
          <w:lang w:eastAsia="en-GB"/>
        </w:rPr>
      </w:pPr>
      <w:r>
        <w:rPr>
          <w:lang w:eastAsia="en-GB"/>
        </w:rPr>
        <w:t xml:space="preserve">6.13.1 – data management of audits – in accordance with GDPR and Data Protection Act and NSHE Records Management CoP 2023. </w:t>
      </w:r>
    </w:p>
    <w:p w14:paraId="67FB6771" w14:textId="77777777" w:rsidR="00E438D5" w:rsidRDefault="00E438D5" w:rsidP="007451EE">
      <w:pPr>
        <w:ind w:left="360"/>
        <w:rPr>
          <w:lang w:eastAsia="en-GB"/>
        </w:rPr>
      </w:pPr>
      <w:r>
        <w:rPr>
          <w:lang w:eastAsia="en-GB"/>
        </w:rPr>
        <w:t xml:space="preserve">Appendix E – Clinical Audit Training Programme Content – note no inclusion of sustainable quality improvement. </w:t>
      </w:r>
    </w:p>
    <w:p w14:paraId="32BC4A5F" w14:textId="77777777" w:rsidR="00E438D5" w:rsidRDefault="00E438D5" w:rsidP="007451EE">
      <w:pPr>
        <w:ind w:left="360"/>
        <w:rPr>
          <w:lang w:eastAsia="en-GB"/>
        </w:rPr>
      </w:pPr>
    </w:p>
    <w:p w14:paraId="7C7DDCB3" w14:textId="77777777" w:rsidR="0001480C" w:rsidRDefault="0001480C" w:rsidP="007451EE">
      <w:pPr>
        <w:ind w:left="360"/>
        <w:rPr>
          <w:color w:val="C00000"/>
          <w:lang w:eastAsia="en-GB"/>
        </w:rPr>
      </w:pPr>
    </w:p>
    <w:p w14:paraId="0388B618" w14:textId="77777777" w:rsidR="00894B08" w:rsidRDefault="00894B08" w:rsidP="00894B08">
      <w:pPr>
        <w:pStyle w:val="Heading4"/>
      </w:pPr>
      <w:r>
        <w:t xml:space="preserve">EKHUFT Green Plan  </w:t>
      </w:r>
    </w:p>
    <w:p w14:paraId="2EBE5BF6" w14:textId="77777777" w:rsidR="00894B08" w:rsidRDefault="00894B08" w:rsidP="00894B08">
      <w:pPr>
        <w:ind w:left="357"/>
        <w:rPr>
          <w:lang w:eastAsia="en-GB"/>
        </w:rPr>
      </w:pPr>
      <w:r>
        <w:rPr>
          <w:lang w:eastAsia="en-GB"/>
        </w:rPr>
        <w:t xml:space="preserve">2.1 The green plan presents an opportunity for the trust to set out its vision for maximising cost-effectiveness while improving healthcare outcomes for patients in a changing environment and reducing the negative environmental impacts arising from Trust operations. </w:t>
      </w:r>
    </w:p>
    <w:p w14:paraId="57DAAA68" w14:textId="77777777" w:rsidR="00894B08" w:rsidRPr="00894B08" w:rsidRDefault="00894B08" w:rsidP="00894B08">
      <w:pPr>
        <w:ind w:left="357"/>
        <w:rPr>
          <w:lang w:eastAsia="en-GB"/>
        </w:rPr>
      </w:pPr>
      <w:r>
        <w:rPr>
          <w:lang w:eastAsia="en-GB"/>
        </w:rPr>
        <w:t xml:space="preserve">2.3.2 – Integrating sustainability action within existing governance structures as appropriate. </w:t>
      </w:r>
    </w:p>
    <w:p w14:paraId="7AC840E7" w14:textId="77777777" w:rsidR="00E438D5" w:rsidRDefault="00E438D5" w:rsidP="007451EE">
      <w:pPr>
        <w:ind w:left="360"/>
        <w:rPr>
          <w:lang w:eastAsia="en-GB"/>
        </w:rPr>
      </w:pPr>
    </w:p>
    <w:p w14:paraId="6F6ED80C" w14:textId="77777777" w:rsidR="00046972" w:rsidRDefault="00046972" w:rsidP="007451EE">
      <w:pPr>
        <w:ind w:left="360"/>
        <w:rPr>
          <w:lang w:eastAsia="en-GB"/>
        </w:rPr>
      </w:pPr>
      <w:r>
        <w:rPr>
          <w:lang w:eastAsia="en-GB"/>
        </w:rPr>
        <w:t xml:space="preserve">Appendx B – Understanding our impacts – </w:t>
      </w:r>
    </w:p>
    <w:p w14:paraId="0A63476A" w14:textId="77777777" w:rsidR="00046972" w:rsidRDefault="00046972" w:rsidP="007451EE">
      <w:pPr>
        <w:ind w:left="360"/>
        <w:rPr>
          <w:lang w:eastAsia="en-GB"/>
        </w:rPr>
      </w:pPr>
      <w:r>
        <w:rPr>
          <w:lang w:eastAsia="en-GB"/>
        </w:rPr>
        <w:t xml:space="preserve">Sustainability in healthcare is not simply about doing less harm, it is about creating new value. Many actions that reduce emissions also support better patient outcomes, improve operational resilience and reduce long-term costs. ‘Meeting the climate challenge will require innovation, partnership and bold change’. </w:t>
      </w:r>
    </w:p>
    <w:p w14:paraId="1DB75526" w14:textId="77777777" w:rsidR="00046972" w:rsidRDefault="00046972" w:rsidP="007451EE">
      <w:pPr>
        <w:ind w:left="360"/>
        <w:rPr>
          <w:lang w:eastAsia="en-GB"/>
        </w:rPr>
      </w:pPr>
    </w:p>
    <w:p w14:paraId="1D4A49A8" w14:textId="77777777" w:rsidR="00046972" w:rsidRDefault="00046972" w:rsidP="007451EE">
      <w:pPr>
        <w:ind w:left="360"/>
        <w:rPr>
          <w:lang w:eastAsia="en-GB"/>
        </w:rPr>
      </w:pPr>
      <w:r>
        <w:rPr>
          <w:lang w:eastAsia="en-GB"/>
        </w:rPr>
        <w:t xml:space="preserve">Appendix C – Actions. </w:t>
      </w:r>
    </w:p>
    <w:p w14:paraId="45F86402" w14:textId="77777777" w:rsidR="00046972" w:rsidRDefault="00046972" w:rsidP="007451EE">
      <w:pPr>
        <w:ind w:left="360"/>
        <w:rPr>
          <w:lang w:eastAsia="en-GB"/>
        </w:rPr>
      </w:pPr>
      <w:r>
        <w:rPr>
          <w:lang w:eastAsia="en-GB"/>
        </w:rPr>
        <w:t xml:space="preserve">Introduction of Sustainability in Action – award category in trusts annual awards. </w:t>
      </w:r>
    </w:p>
    <w:p w14:paraId="6521807C" w14:textId="77777777" w:rsidR="00046972" w:rsidRDefault="00046972" w:rsidP="007451EE">
      <w:pPr>
        <w:ind w:left="360"/>
        <w:rPr>
          <w:lang w:eastAsia="en-GB"/>
        </w:rPr>
      </w:pPr>
      <w:r>
        <w:rPr>
          <w:lang w:eastAsia="en-GB"/>
        </w:rPr>
        <w:t xml:space="preserve"> Launch of Sustainable Future Forum, 20 active cross-group members. </w:t>
      </w:r>
    </w:p>
    <w:p w14:paraId="514AF421" w14:textId="77777777" w:rsidR="00046972" w:rsidRDefault="00046972" w:rsidP="007451EE">
      <w:pPr>
        <w:ind w:left="360"/>
        <w:rPr>
          <w:lang w:eastAsia="en-GB"/>
        </w:rPr>
      </w:pPr>
      <w:r>
        <w:rPr>
          <w:lang w:eastAsia="en-GB"/>
        </w:rPr>
        <w:t xml:space="preserve">Net-Zero Clinical transformation – Whole section on the need and benefit of transforming care to be more sustainable. </w:t>
      </w:r>
    </w:p>
    <w:p w14:paraId="43848315" w14:textId="77777777" w:rsidR="00046972" w:rsidRDefault="00046972" w:rsidP="007451EE">
      <w:pPr>
        <w:ind w:left="360"/>
        <w:rPr>
          <w:b/>
          <w:lang w:eastAsia="en-GB"/>
        </w:rPr>
      </w:pPr>
      <w:r>
        <w:rPr>
          <w:b/>
          <w:lang w:eastAsia="en-GB"/>
        </w:rPr>
        <w:lastRenderedPageBreak/>
        <w:t xml:space="preserve">2.2  By DEC 2025. </w:t>
      </w:r>
      <w:r w:rsidRPr="00046972">
        <w:rPr>
          <w:b/>
          <w:lang w:eastAsia="en-GB"/>
        </w:rPr>
        <w:t>Update the Quality Improvement Framework – to Specifically include environmental sustainability as a quality domain.</w:t>
      </w:r>
      <w:r>
        <w:rPr>
          <w:b/>
          <w:lang w:eastAsia="en-GB"/>
        </w:rPr>
        <w:t xml:space="preserve"> AND Pilot its use in at least two active QI projects. </w:t>
      </w:r>
    </w:p>
    <w:p w14:paraId="4DA5A873" w14:textId="77777777" w:rsidR="00ED1348" w:rsidRDefault="00ED1348" w:rsidP="007451EE">
      <w:pPr>
        <w:ind w:left="360"/>
        <w:rPr>
          <w:b/>
          <w:lang w:eastAsia="en-GB"/>
        </w:rPr>
      </w:pPr>
    </w:p>
    <w:p w14:paraId="673C2C3A" w14:textId="77777777" w:rsidR="00046972" w:rsidRDefault="00ED1348" w:rsidP="00ED1348">
      <w:pPr>
        <w:pStyle w:val="Heading4"/>
        <w:rPr>
          <w:b w:val="0"/>
        </w:rPr>
      </w:pPr>
      <w:r>
        <w:t xml:space="preserve">EKHUFT webpage – </w:t>
      </w:r>
      <w:r>
        <w:rPr>
          <w:b w:val="0"/>
        </w:rPr>
        <w:t xml:space="preserve">Mission, vision and values. </w:t>
      </w:r>
    </w:p>
    <w:p w14:paraId="0A798EDB" w14:textId="77777777" w:rsidR="00ED1348" w:rsidRPr="00ED1348" w:rsidRDefault="00ED1348" w:rsidP="00ED1348">
      <w:pPr>
        <w:ind w:left="714"/>
        <w:rPr>
          <w:lang w:eastAsia="en-GB"/>
        </w:rPr>
      </w:pPr>
      <w:r>
        <w:rPr>
          <w:lang w:eastAsia="en-GB"/>
        </w:rPr>
        <w:t xml:space="preserve">Sustainability included as a strategic theme, under this theme however is only includes financial sustainability. </w:t>
      </w:r>
    </w:p>
    <w:p w14:paraId="746A1C9B" w14:textId="77777777" w:rsidR="00046972" w:rsidRPr="00046972" w:rsidRDefault="00046972" w:rsidP="007451EE">
      <w:pPr>
        <w:ind w:left="360"/>
        <w:rPr>
          <w:lang w:eastAsia="en-GB"/>
        </w:rPr>
      </w:pPr>
      <w:r w:rsidRPr="00046972">
        <w:rPr>
          <w:b/>
          <w:lang w:eastAsia="en-GB"/>
        </w:rPr>
        <w:t xml:space="preserve"> </w:t>
      </w:r>
      <w:r w:rsidR="00ED1348" w:rsidRPr="00ED1348">
        <w:rPr>
          <w:noProof/>
          <w:lang w:eastAsia="en-GB"/>
        </w:rPr>
        <w:drawing>
          <wp:inline distT="0" distB="0" distL="0" distR="0" wp14:anchorId="50A457DA" wp14:editId="4BCB37C9">
            <wp:extent cx="1100045" cy="341906"/>
            <wp:effectExtent l="0" t="0" r="508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1137130" cy="353432"/>
                    </a:xfrm>
                    <a:prstGeom prst="rect">
                      <a:avLst/>
                    </a:prstGeom>
                  </pic:spPr>
                </pic:pic>
              </a:graphicData>
            </a:graphic>
          </wp:inline>
        </w:drawing>
      </w:r>
    </w:p>
    <w:p w14:paraId="25D8573A" w14:textId="77777777" w:rsidR="00046972" w:rsidRPr="00131FC8" w:rsidRDefault="00046972" w:rsidP="007451EE">
      <w:pPr>
        <w:ind w:left="360"/>
        <w:rPr>
          <w:lang w:eastAsia="en-GB"/>
        </w:rPr>
      </w:pPr>
    </w:p>
    <w:p w14:paraId="77971BB7" w14:textId="77777777" w:rsidR="00716CBE" w:rsidRDefault="00ED1348" w:rsidP="00ED1348">
      <w:pPr>
        <w:pStyle w:val="Heading4"/>
      </w:pPr>
      <w:r>
        <w:t xml:space="preserve">EKHUFT – </w:t>
      </w:r>
      <w:hyperlink r:id="rId36" w:history="1">
        <w:r w:rsidRPr="00ED1348">
          <w:rPr>
            <w:rStyle w:val="Hyperlink"/>
          </w:rPr>
          <w:t>Quality account – 2024-25</w:t>
        </w:r>
      </w:hyperlink>
      <w:r>
        <w:t xml:space="preserve"> – Includes sustainability, only in terms of financial sustainability. </w:t>
      </w:r>
    </w:p>
    <w:p w14:paraId="7B0F3EE7" w14:textId="77777777" w:rsidR="007E6BB6" w:rsidRPr="007E6BB6" w:rsidRDefault="007E6BB6" w:rsidP="007E6BB6">
      <w:pPr>
        <w:rPr>
          <w:lang w:eastAsia="en-GB"/>
        </w:rPr>
      </w:pPr>
    </w:p>
    <w:p w14:paraId="12ED14B0" w14:textId="77777777" w:rsidR="007E6BB6" w:rsidRDefault="007E6BB6" w:rsidP="007E6BB6">
      <w:pPr>
        <w:pStyle w:val="Heading4"/>
      </w:pPr>
      <w:r>
        <w:t>Environmental Sustainability in Quality Improvement</w:t>
      </w:r>
    </w:p>
    <w:p w14:paraId="2C3F65A7" w14:textId="77777777" w:rsidR="007E6BB6" w:rsidRDefault="007E6BB6" w:rsidP="007E6BB6">
      <w:pPr>
        <w:ind w:left="714"/>
        <w:rPr>
          <w:lang w:eastAsia="en-GB"/>
        </w:rPr>
      </w:pPr>
      <w:r>
        <w:rPr>
          <w:lang w:eastAsia="en-GB"/>
        </w:rPr>
        <w:t xml:space="preserve">Sustainability – the ability for something to be maintained in the future, three main areas – economic, environmental and social. Sustainable healthcare, means delivering care in a way that maximises positive health outcomes whilst avoiding financial waste and harmful environmental and social impacts. Delivers care in way that does not compromise the health or ability to deliver healthcare in the future. </w:t>
      </w:r>
    </w:p>
    <w:p w14:paraId="172B769C" w14:textId="77777777" w:rsidR="007E6BB6" w:rsidRDefault="007E6BB6" w:rsidP="007E6BB6">
      <w:pPr>
        <w:ind w:left="714"/>
        <w:rPr>
          <w:lang w:eastAsia="en-GB"/>
        </w:rPr>
      </w:pPr>
      <w:r>
        <w:rPr>
          <w:lang w:eastAsia="en-GB"/>
        </w:rPr>
        <w:t xml:space="preserve">Value = improving outcomes for patients and populations / environmental, social and financial impacts. (the triple bottom line). </w:t>
      </w:r>
    </w:p>
    <w:p w14:paraId="79720853" w14:textId="77777777" w:rsidR="007E6BB6" w:rsidRDefault="007E6BB6" w:rsidP="007E6BB6">
      <w:pPr>
        <w:ind w:left="714"/>
        <w:rPr>
          <w:lang w:eastAsia="en-GB"/>
        </w:rPr>
      </w:pPr>
    </w:p>
    <w:p w14:paraId="26B64733" w14:textId="77777777" w:rsidR="007E6BB6" w:rsidRDefault="007E6BB6" w:rsidP="007E6BB6">
      <w:pPr>
        <w:ind w:left="714"/>
        <w:rPr>
          <w:lang w:eastAsia="en-GB"/>
        </w:rPr>
      </w:pPr>
      <w:r>
        <w:rPr>
          <w:lang w:eastAsia="en-GB"/>
        </w:rPr>
        <w:t xml:space="preserve">Pillars of sustainable healthcare (Mortimer) – prevention, patient empowerment, lean pathways, low carbon alternatives. </w:t>
      </w:r>
    </w:p>
    <w:p w14:paraId="39D62A59" w14:textId="77777777" w:rsidR="00F5787E" w:rsidRDefault="00F5787E" w:rsidP="007E6BB6">
      <w:pPr>
        <w:ind w:left="714"/>
        <w:rPr>
          <w:lang w:eastAsia="en-GB"/>
        </w:rPr>
      </w:pPr>
    </w:p>
    <w:p w14:paraId="6823625C" w14:textId="77777777" w:rsidR="00F5787E" w:rsidRDefault="00F5787E" w:rsidP="007E6BB6">
      <w:pPr>
        <w:ind w:left="714"/>
        <w:rPr>
          <w:lang w:eastAsia="en-GB"/>
        </w:rPr>
      </w:pPr>
      <w:r>
        <w:rPr>
          <w:lang w:eastAsia="en-GB"/>
        </w:rPr>
        <w:t xml:space="preserve">Studying the system – identifying opportunities – heating and electricity, water, surgical instruments in packs, medical equipment, personal protective equipment, anaesthetic drugs and gases etc. </w:t>
      </w:r>
      <w:r w:rsidR="00FB1540">
        <w:rPr>
          <w:lang w:eastAsia="en-GB"/>
        </w:rPr>
        <w:t xml:space="preserve">Waste outputs. </w:t>
      </w:r>
    </w:p>
    <w:p w14:paraId="30814EF2" w14:textId="77777777" w:rsidR="00FB1540" w:rsidRDefault="00FB1540" w:rsidP="007E6BB6">
      <w:pPr>
        <w:ind w:left="714"/>
        <w:rPr>
          <w:lang w:eastAsia="en-GB"/>
        </w:rPr>
      </w:pPr>
    </w:p>
    <w:p w14:paraId="6BBE667D" w14:textId="77777777" w:rsidR="00FB1540" w:rsidRDefault="00FB1540" w:rsidP="007E6BB6">
      <w:pPr>
        <w:ind w:left="714"/>
        <w:rPr>
          <w:lang w:eastAsia="en-GB"/>
        </w:rPr>
      </w:pPr>
      <w:r>
        <w:rPr>
          <w:lang w:eastAsia="en-GB"/>
        </w:rPr>
        <w:t xml:space="preserve">Measuring impact – carbon footprint = activity or resource use x GHG emission factor. List of certain activities is available – for example – 0.22kg COeKgm – these numbers come from lifecycle assessments. </w:t>
      </w:r>
    </w:p>
    <w:p w14:paraId="026EBBAE" w14:textId="77777777" w:rsidR="00FB1540" w:rsidRDefault="00FB1540" w:rsidP="007E6BB6">
      <w:pPr>
        <w:ind w:left="714"/>
        <w:rPr>
          <w:lang w:eastAsia="en-GB"/>
        </w:rPr>
      </w:pPr>
    </w:p>
    <w:p w14:paraId="6D22B5D6" w14:textId="77777777" w:rsidR="00FB1540" w:rsidRPr="007E6BB6" w:rsidRDefault="00FB1540" w:rsidP="007E6BB6">
      <w:pPr>
        <w:ind w:left="714"/>
        <w:rPr>
          <w:lang w:eastAsia="en-GB"/>
        </w:rPr>
      </w:pPr>
      <w:r>
        <w:rPr>
          <w:lang w:eastAsia="en-GB"/>
        </w:rPr>
        <w:t xml:space="preserve">Social impacts – through staff survey – pre-post interventions. </w:t>
      </w:r>
    </w:p>
    <w:p w14:paraId="67A6B25A" w14:textId="77777777" w:rsidR="00A704C4" w:rsidRPr="00A704C4" w:rsidRDefault="00A704C4" w:rsidP="00A704C4"/>
    <w:p w14:paraId="01150EC6" w14:textId="77777777" w:rsidR="002A71A2" w:rsidRDefault="002A71A2" w:rsidP="00520CA6"/>
    <w:p w14:paraId="1FE480DF" w14:textId="77777777" w:rsidR="00716CBE" w:rsidRPr="002A71A2" w:rsidRDefault="00716CBE" w:rsidP="00520CA6"/>
    <w:sectPr w:rsidR="00716CBE" w:rsidRPr="002A71A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604020202020204"/>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94A3A"/>
    <w:multiLevelType w:val="multilevel"/>
    <w:tmpl w:val="A5BA3C3E"/>
    <w:lvl w:ilvl="0">
      <w:start w:val="1"/>
      <w:numFmt w:val="decimal"/>
      <w:lvlText w:val="%1"/>
      <w:lvlJc w:val="left"/>
      <w:pPr>
        <w:ind w:left="450" w:hanging="450"/>
      </w:pPr>
      <w:rPr>
        <w:rFonts w:hint="default"/>
      </w:rPr>
    </w:lvl>
    <w:lvl w:ilvl="1">
      <w:start w:val="1"/>
      <w:numFmt w:val="decimal"/>
      <w:lvlText w:val="%1.%2"/>
      <w:lvlJc w:val="left"/>
      <w:pPr>
        <w:ind w:left="810" w:hanging="45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95A7585"/>
    <w:multiLevelType w:val="multilevel"/>
    <w:tmpl w:val="5BECE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2A25D51"/>
    <w:multiLevelType w:val="hybridMultilevel"/>
    <w:tmpl w:val="0A34C984"/>
    <w:lvl w:ilvl="0" w:tplc="5C1E43C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53D4501"/>
    <w:multiLevelType w:val="hybridMultilevel"/>
    <w:tmpl w:val="77127B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85F784A"/>
    <w:multiLevelType w:val="hybridMultilevel"/>
    <w:tmpl w:val="DF184E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A081D80"/>
    <w:multiLevelType w:val="hybridMultilevel"/>
    <w:tmpl w:val="7CB0FD20"/>
    <w:lvl w:ilvl="0" w:tplc="7E04D12E">
      <w:start w:val="6"/>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2C6D0E0C"/>
    <w:multiLevelType w:val="hybridMultilevel"/>
    <w:tmpl w:val="75F4A4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24A7673"/>
    <w:multiLevelType w:val="hybridMultilevel"/>
    <w:tmpl w:val="2F1C8A60"/>
    <w:lvl w:ilvl="0" w:tplc="37D69E3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5FA0022"/>
    <w:multiLevelType w:val="multilevel"/>
    <w:tmpl w:val="8A3822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6A72F9F"/>
    <w:multiLevelType w:val="hybridMultilevel"/>
    <w:tmpl w:val="B3AA1524"/>
    <w:lvl w:ilvl="0" w:tplc="7590AC1C">
      <w:start w:val="1"/>
      <w:numFmt w:val="lowerLetter"/>
      <w:pStyle w:val="Heading4"/>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6EA332E"/>
    <w:multiLevelType w:val="hybridMultilevel"/>
    <w:tmpl w:val="836A04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7D73D39"/>
    <w:multiLevelType w:val="hybridMultilevel"/>
    <w:tmpl w:val="E1C8413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8442B6F"/>
    <w:multiLevelType w:val="hybridMultilevel"/>
    <w:tmpl w:val="3412FE30"/>
    <w:lvl w:ilvl="0" w:tplc="DA44258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086649A"/>
    <w:multiLevelType w:val="hybridMultilevel"/>
    <w:tmpl w:val="D51E68C6"/>
    <w:lvl w:ilvl="0" w:tplc="4FD624B6">
      <w:start w:val="21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20C3AB6"/>
    <w:multiLevelType w:val="hybridMultilevel"/>
    <w:tmpl w:val="9B6CE388"/>
    <w:lvl w:ilvl="0" w:tplc="85A80E08">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E423B24"/>
    <w:multiLevelType w:val="hybridMultilevel"/>
    <w:tmpl w:val="3B4636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7F983816"/>
    <w:multiLevelType w:val="hybridMultilevel"/>
    <w:tmpl w:val="7FAEAAC4"/>
    <w:lvl w:ilvl="0" w:tplc="92CACB7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39878460">
    <w:abstractNumId w:val="9"/>
  </w:num>
  <w:num w:numId="2" w16cid:durableId="1269704256">
    <w:abstractNumId w:val="5"/>
  </w:num>
  <w:num w:numId="3" w16cid:durableId="843322428">
    <w:abstractNumId w:val="10"/>
  </w:num>
  <w:num w:numId="4" w16cid:durableId="1220703136">
    <w:abstractNumId w:val="0"/>
  </w:num>
  <w:num w:numId="5" w16cid:durableId="529876014">
    <w:abstractNumId w:val="4"/>
  </w:num>
  <w:num w:numId="6" w16cid:durableId="1484541791">
    <w:abstractNumId w:val="3"/>
  </w:num>
  <w:num w:numId="7" w16cid:durableId="1463840476">
    <w:abstractNumId w:val="8"/>
  </w:num>
  <w:num w:numId="8" w16cid:durableId="1453982558">
    <w:abstractNumId w:val="1"/>
  </w:num>
  <w:num w:numId="9" w16cid:durableId="1479224735">
    <w:abstractNumId w:val="13"/>
  </w:num>
  <w:num w:numId="10" w16cid:durableId="302736490">
    <w:abstractNumId w:val="6"/>
  </w:num>
  <w:num w:numId="11" w16cid:durableId="646134787">
    <w:abstractNumId w:val="11"/>
  </w:num>
  <w:num w:numId="12" w16cid:durableId="1828086216">
    <w:abstractNumId w:val="16"/>
  </w:num>
  <w:num w:numId="13" w16cid:durableId="1589970251">
    <w:abstractNumId w:val="14"/>
  </w:num>
  <w:num w:numId="14" w16cid:durableId="1682121483">
    <w:abstractNumId w:val="2"/>
  </w:num>
  <w:num w:numId="15" w16cid:durableId="1097484289">
    <w:abstractNumId w:val="1"/>
  </w:num>
  <w:num w:numId="16" w16cid:durableId="1261986152">
    <w:abstractNumId w:val="7"/>
  </w:num>
  <w:num w:numId="17" w16cid:durableId="77676441">
    <w:abstractNumId w:val="12"/>
  </w:num>
  <w:num w:numId="18" w16cid:durableId="22704046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71A2"/>
    <w:rsid w:val="0001480C"/>
    <w:rsid w:val="000221CC"/>
    <w:rsid w:val="00046972"/>
    <w:rsid w:val="000474D5"/>
    <w:rsid w:val="000528D1"/>
    <w:rsid w:val="00056D81"/>
    <w:rsid w:val="000574DE"/>
    <w:rsid w:val="000714ED"/>
    <w:rsid w:val="00071945"/>
    <w:rsid w:val="0009455C"/>
    <w:rsid w:val="000A1927"/>
    <w:rsid w:val="000B23FC"/>
    <w:rsid w:val="00131FC8"/>
    <w:rsid w:val="00146454"/>
    <w:rsid w:val="001472C2"/>
    <w:rsid w:val="00154DD7"/>
    <w:rsid w:val="00211081"/>
    <w:rsid w:val="002265DA"/>
    <w:rsid w:val="0023582F"/>
    <w:rsid w:val="002A71A2"/>
    <w:rsid w:val="002D4D2C"/>
    <w:rsid w:val="002F1C5C"/>
    <w:rsid w:val="002F3294"/>
    <w:rsid w:val="002F7E9E"/>
    <w:rsid w:val="00315E75"/>
    <w:rsid w:val="00362195"/>
    <w:rsid w:val="00382789"/>
    <w:rsid w:val="003A32E3"/>
    <w:rsid w:val="003C4A33"/>
    <w:rsid w:val="003C4FD7"/>
    <w:rsid w:val="00422D8A"/>
    <w:rsid w:val="00431032"/>
    <w:rsid w:val="00461190"/>
    <w:rsid w:val="004628F0"/>
    <w:rsid w:val="00462EA2"/>
    <w:rsid w:val="00483A7A"/>
    <w:rsid w:val="004842EF"/>
    <w:rsid w:val="004C1CF2"/>
    <w:rsid w:val="004C720B"/>
    <w:rsid w:val="004E447B"/>
    <w:rsid w:val="004E61DB"/>
    <w:rsid w:val="00503561"/>
    <w:rsid w:val="005060C9"/>
    <w:rsid w:val="00520CA6"/>
    <w:rsid w:val="0059640B"/>
    <w:rsid w:val="005B41F6"/>
    <w:rsid w:val="005C2BD8"/>
    <w:rsid w:val="005F6ECC"/>
    <w:rsid w:val="00615EE9"/>
    <w:rsid w:val="006163D6"/>
    <w:rsid w:val="00620A77"/>
    <w:rsid w:val="006219E8"/>
    <w:rsid w:val="006259A6"/>
    <w:rsid w:val="00627397"/>
    <w:rsid w:val="00627B55"/>
    <w:rsid w:val="00631EF8"/>
    <w:rsid w:val="0068743F"/>
    <w:rsid w:val="006D4BD8"/>
    <w:rsid w:val="006E1743"/>
    <w:rsid w:val="006F177F"/>
    <w:rsid w:val="006F7E84"/>
    <w:rsid w:val="007039A3"/>
    <w:rsid w:val="00716CBE"/>
    <w:rsid w:val="0073522D"/>
    <w:rsid w:val="007451EE"/>
    <w:rsid w:val="00754B95"/>
    <w:rsid w:val="00765114"/>
    <w:rsid w:val="007C1349"/>
    <w:rsid w:val="007C1D72"/>
    <w:rsid w:val="007C4D79"/>
    <w:rsid w:val="007E234C"/>
    <w:rsid w:val="007E6BB6"/>
    <w:rsid w:val="008142AD"/>
    <w:rsid w:val="00845F79"/>
    <w:rsid w:val="00853C06"/>
    <w:rsid w:val="00856685"/>
    <w:rsid w:val="00865B5E"/>
    <w:rsid w:val="00894B08"/>
    <w:rsid w:val="008955F4"/>
    <w:rsid w:val="008B4A0A"/>
    <w:rsid w:val="00942667"/>
    <w:rsid w:val="00946D42"/>
    <w:rsid w:val="00953A51"/>
    <w:rsid w:val="00953F32"/>
    <w:rsid w:val="00953F3F"/>
    <w:rsid w:val="00993FE0"/>
    <w:rsid w:val="009C2239"/>
    <w:rsid w:val="009E0359"/>
    <w:rsid w:val="00A04C13"/>
    <w:rsid w:val="00A1297B"/>
    <w:rsid w:val="00A32C65"/>
    <w:rsid w:val="00A704C4"/>
    <w:rsid w:val="00A866BC"/>
    <w:rsid w:val="00AB4F38"/>
    <w:rsid w:val="00AE0CBE"/>
    <w:rsid w:val="00AE5263"/>
    <w:rsid w:val="00AE6FDB"/>
    <w:rsid w:val="00B04458"/>
    <w:rsid w:val="00B139B9"/>
    <w:rsid w:val="00B23EE1"/>
    <w:rsid w:val="00B36F7F"/>
    <w:rsid w:val="00B60EB0"/>
    <w:rsid w:val="00B63FB8"/>
    <w:rsid w:val="00BA02B5"/>
    <w:rsid w:val="00BA0522"/>
    <w:rsid w:val="00BE4274"/>
    <w:rsid w:val="00BF2A85"/>
    <w:rsid w:val="00C30F23"/>
    <w:rsid w:val="00C411DF"/>
    <w:rsid w:val="00C51C6A"/>
    <w:rsid w:val="00C64EC8"/>
    <w:rsid w:val="00C83C77"/>
    <w:rsid w:val="00CA4720"/>
    <w:rsid w:val="00CD0C5E"/>
    <w:rsid w:val="00CE0BC1"/>
    <w:rsid w:val="00D449EC"/>
    <w:rsid w:val="00D64D65"/>
    <w:rsid w:val="00D64DD6"/>
    <w:rsid w:val="00D658D6"/>
    <w:rsid w:val="00D919FF"/>
    <w:rsid w:val="00D94260"/>
    <w:rsid w:val="00E10905"/>
    <w:rsid w:val="00E15324"/>
    <w:rsid w:val="00E438D5"/>
    <w:rsid w:val="00E94D15"/>
    <w:rsid w:val="00ED1348"/>
    <w:rsid w:val="00ED188E"/>
    <w:rsid w:val="00ED5869"/>
    <w:rsid w:val="00F0333E"/>
    <w:rsid w:val="00F30385"/>
    <w:rsid w:val="00F37127"/>
    <w:rsid w:val="00F5787E"/>
    <w:rsid w:val="00F61F83"/>
    <w:rsid w:val="00FA402C"/>
    <w:rsid w:val="00FB1540"/>
    <w:rsid w:val="00FB3B84"/>
    <w:rsid w:val="00FC3A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8A1E8E"/>
  <w15:chartTrackingRefBased/>
  <w15:docId w15:val="{67DB6994-66E5-4D52-A61E-944DEE234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3B84"/>
    <w:pPr>
      <w:spacing w:after="0"/>
    </w:pPr>
  </w:style>
  <w:style w:type="paragraph" w:styleId="Heading1">
    <w:name w:val="heading 1"/>
    <w:basedOn w:val="Normal"/>
    <w:next w:val="Normal"/>
    <w:link w:val="Heading1Char"/>
    <w:uiPriority w:val="9"/>
    <w:qFormat/>
    <w:rsid w:val="002A71A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A71A2"/>
    <w:pPr>
      <w:outlineLvl w:val="1"/>
    </w:pPr>
    <w:rPr>
      <w:b/>
      <w:sz w:val="28"/>
    </w:rPr>
  </w:style>
  <w:style w:type="paragraph" w:styleId="Heading3">
    <w:name w:val="heading 3"/>
    <w:basedOn w:val="Heading2"/>
    <w:next w:val="Normal"/>
    <w:link w:val="Heading3Char"/>
    <w:uiPriority w:val="9"/>
    <w:unhideWhenUsed/>
    <w:qFormat/>
    <w:rsid w:val="00C51C6A"/>
    <w:pPr>
      <w:spacing w:after="240"/>
      <w:outlineLvl w:val="2"/>
    </w:pPr>
    <w:rPr>
      <w:sz w:val="24"/>
    </w:rPr>
  </w:style>
  <w:style w:type="paragraph" w:styleId="Heading4">
    <w:name w:val="heading 4"/>
    <w:basedOn w:val="ListParagraph"/>
    <w:next w:val="Normal"/>
    <w:link w:val="Heading4Char"/>
    <w:uiPriority w:val="9"/>
    <w:unhideWhenUsed/>
    <w:qFormat/>
    <w:rsid w:val="007451EE"/>
    <w:pPr>
      <w:numPr>
        <w:numId w:val="1"/>
      </w:numPr>
      <w:spacing w:after="120"/>
      <w:ind w:left="714" w:hanging="357"/>
      <w:outlineLvl w:val="3"/>
    </w:pPr>
    <w:rPr>
      <w:b/>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A71A2"/>
    <w:rPr>
      <w:color w:val="0563C1" w:themeColor="hyperlink"/>
      <w:u w:val="single"/>
    </w:rPr>
  </w:style>
  <w:style w:type="character" w:styleId="UnresolvedMention">
    <w:name w:val="Unresolved Mention"/>
    <w:basedOn w:val="DefaultParagraphFont"/>
    <w:uiPriority w:val="99"/>
    <w:semiHidden/>
    <w:unhideWhenUsed/>
    <w:rsid w:val="002A71A2"/>
    <w:rPr>
      <w:color w:val="605E5C"/>
      <w:shd w:val="clear" w:color="auto" w:fill="E1DFDD"/>
    </w:rPr>
  </w:style>
  <w:style w:type="character" w:customStyle="1" w:styleId="Heading2Char">
    <w:name w:val="Heading 2 Char"/>
    <w:basedOn w:val="DefaultParagraphFont"/>
    <w:link w:val="Heading2"/>
    <w:uiPriority w:val="9"/>
    <w:rsid w:val="002A71A2"/>
    <w:rPr>
      <w:b/>
      <w:sz w:val="28"/>
    </w:rPr>
  </w:style>
  <w:style w:type="character" w:customStyle="1" w:styleId="Heading1Char">
    <w:name w:val="Heading 1 Char"/>
    <w:basedOn w:val="DefaultParagraphFont"/>
    <w:link w:val="Heading1"/>
    <w:uiPriority w:val="9"/>
    <w:rsid w:val="002A71A2"/>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2A71A2"/>
    <w:pPr>
      <w:outlineLvl w:val="9"/>
    </w:pPr>
    <w:rPr>
      <w:lang w:val="en-US"/>
    </w:rPr>
  </w:style>
  <w:style w:type="paragraph" w:styleId="TOC2">
    <w:name w:val="toc 2"/>
    <w:basedOn w:val="Normal"/>
    <w:next w:val="Normal"/>
    <w:autoRedefine/>
    <w:uiPriority w:val="39"/>
    <w:unhideWhenUsed/>
    <w:rsid w:val="002A71A2"/>
    <w:pPr>
      <w:spacing w:after="100"/>
      <w:ind w:left="220"/>
    </w:pPr>
  </w:style>
  <w:style w:type="character" w:customStyle="1" w:styleId="Heading3Char">
    <w:name w:val="Heading 3 Char"/>
    <w:basedOn w:val="DefaultParagraphFont"/>
    <w:link w:val="Heading3"/>
    <w:uiPriority w:val="9"/>
    <w:rsid w:val="00C51C6A"/>
    <w:rPr>
      <w:b/>
      <w:sz w:val="24"/>
    </w:rPr>
  </w:style>
  <w:style w:type="paragraph" w:styleId="TOC3">
    <w:name w:val="toc 3"/>
    <w:basedOn w:val="Normal"/>
    <w:next w:val="Normal"/>
    <w:autoRedefine/>
    <w:uiPriority w:val="39"/>
    <w:unhideWhenUsed/>
    <w:rsid w:val="002A71A2"/>
    <w:pPr>
      <w:spacing w:after="100"/>
      <w:ind w:left="440"/>
    </w:pPr>
  </w:style>
  <w:style w:type="paragraph" w:styleId="ListParagraph">
    <w:name w:val="List Paragraph"/>
    <w:basedOn w:val="Normal"/>
    <w:uiPriority w:val="34"/>
    <w:qFormat/>
    <w:rsid w:val="00716CBE"/>
    <w:pPr>
      <w:ind w:left="720"/>
      <w:contextualSpacing/>
    </w:pPr>
  </w:style>
  <w:style w:type="character" w:customStyle="1" w:styleId="Heading4Char">
    <w:name w:val="Heading 4 Char"/>
    <w:basedOn w:val="DefaultParagraphFont"/>
    <w:link w:val="Heading4"/>
    <w:uiPriority w:val="9"/>
    <w:rsid w:val="007451EE"/>
    <w:rPr>
      <w:b/>
      <w:lang w:eastAsia="en-GB"/>
    </w:rPr>
  </w:style>
  <w:style w:type="table" w:styleId="TableGrid">
    <w:name w:val="Table Grid"/>
    <w:basedOn w:val="TableNormal"/>
    <w:uiPriority w:val="39"/>
    <w:rsid w:val="00E94D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4C720B"/>
    <w:rPr>
      <w:rFonts w:ascii="Times New Roman" w:hAnsi="Times New Roman" w:cs="Times New Roman"/>
      <w:sz w:val="24"/>
      <w:szCs w:val="24"/>
    </w:rPr>
  </w:style>
  <w:style w:type="character" w:styleId="FollowedHyperlink">
    <w:name w:val="FollowedHyperlink"/>
    <w:basedOn w:val="DefaultParagraphFont"/>
    <w:uiPriority w:val="99"/>
    <w:semiHidden/>
    <w:unhideWhenUsed/>
    <w:rsid w:val="00D64DD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480441">
      <w:bodyDiv w:val="1"/>
      <w:marLeft w:val="0"/>
      <w:marRight w:val="0"/>
      <w:marTop w:val="0"/>
      <w:marBottom w:val="0"/>
      <w:divBdr>
        <w:top w:val="none" w:sz="0" w:space="0" w:color="auto"/>
        <w:left w:val="none" w:sz="0" w:space="0" w:color="auto"/>
        <w:bottom w:val="none" w:sz="0" w:space="0" w:color="auto"/>
        <w:right w:val="none" w:sz="0" w:space="0" w:color="auto"/>
      </w:divBdr>
    </w:div>
    <w:div w:id="240336629">
      <w:bodyDiv w:val="1"/>
      <w:marLeft w:val="0"/>
      <w:marRight w:val="0"/>
      <w:marTop w:val="0"/>
      <w:marBottom w:val="0"/>
      <w:divBdr>
        <w:top w:val="none" w:sz="0" w:space="0" w:color="auto"/>
        <w:left w:val="none" w:sz="0" w:space="0" w:color="auto"/>
        <w:bottom w:val="none" w:sz="0" w:space="0" w:color="auto"/>
        <w:right w:val="none" w:sz="0" w:space="0" w:color="auto"/>
      </w:divBdr>
    </w:div>
    <w:div w:id="337200338">
      <w:bodyDiv w:val="1"/>
      <w:marLeft w:val="0"/>
      <w:marRight w:val="0"/>
      <w:marTop w:val="0"/>
      <w:marBottom w:val="0"/>
      <w:divBdr>
        <w:top w:val="none" w:sz="0" w:space="0" w:color="auto"/>
        <w:left w:val="none" w:sz="0" w:space="0" w:color="auto"/>
        <w:bottom w:val="none" w:sz="0" w:space="0" w:color="auto"/>
        <w:right w:val="none" w:sz="0" w:space="0" w:color="auto"/>
      </w:divBdr>
    </w:div>
    <w:div w:id="431779025">
      <w:bodyDiv w:val="1"/>
      <w:marLeft w:val="0"/>
      <w:marRight w:val="0"/>
      <w:marTop w:val="0"/>
      <w:marBottom w:val="0"/>
      <w:divBdr>
        <w:top w:val="none" w:sz="0" w:space="0" w:color="auto"/>
        <w:left w:val="none" w:sz="0" w:space="0" w:color="auto"/>
        <w:bottom w:val="none" w:sz="0" w:space="0" w:color="auto"/>
        <w:right w:val="none" w:sz="0" w:space="0" w:color="auto"/>
      </w:divBdr>
    </w:div>
    <w:div w:id="824589026">
      <w:bodyDiv w:val="1"/>
      <w:marLeft w:val="0"/>
      <w:marRight w:val="0"/>
      <w:marTop w:val="0"/>
      <w:marBottom w:val="0"/>
      <w:divBdr>
        <w:top w:val="none" w:sz="0" w:space="0" w:color="auto"/>
        <w:left w:val="none" w:sz="0" w:space="0" w:color="auto"/>
        <w:bottom w:val="none" w:sz="0" w:space="0" w:color="auto"/>
        <w:right w:val="none" w:sz="0" w:space="0" w:color="auto"/>
      </w:divBdr>
    </w:div>
    <w:div w:id="1056393160">
      <w:bodyDiv w:val="1"/>
      <w:marLeft w:val="0"/>
      <w:marRight w:val="0"/>
      <w:marTop w:val="0"/>
      <w:marBottom w:val="0"/>
      <w:divBdr>
        <w:top w:val="none" w:sz="0" w:space="0" w:color="auto"/>
        <w:left w:val="none" w:sz="0" w:space="0" w:color="auto"/>
        <w:bottom w:val="none" w:sz="0" w:space="0" w:color="auto"/>
        <w:right w:val="none" w:sz="0" w:space="0" w:color="auto"/>
      </w:divBdr>
    </w:div>
    <w:div w:id="1303773474">
      <w:bodyDiv w:val="1"/>
      <w:marLeft w:val="0"/>
      <w:marRight w:val="0"/>
      <w:marTop w:val="0"/>
      <w:marBottom w:val="0"/>
      <w:divBdr>
        <w:top w:val="none" w:sz="0" w:space="0" w:color="auto"/>
        <w:left w:val="none" w:sz="0" w:space="0" w:color="auto"/>
        <w:bottom w:val="none" w:sz="0" w:space="0" w:color="auto"/>
        <w:right w:val="none" w:sz="0" w:space="0" w:color="auto"/>
      </w:divBdr>
    </w:div>
    <w:div w:id="1306665548">
      <w:bodyDiv w:val="1"/>
      <w:marLeft w:val="0"/>
      <w:marRight w:val="0"/>
      <w:marTop w:val="0"/>
      <w:marBottom w:val="0"/>
      <w:divBdr>
        <w:top w:val="none" w:sz="0" w:space="0" w:color="auto"/>
        <w:left w:val="none" w:sz="0" w:space="0" w:color="auto"/>
        <w:bottom w:val="none" w:sz="0" w:space="0" w:color="auto"/>
        <w:right w:val="none" w:sz="0" w:space="0" w:color="auto"/>
      </w:divBdr>
    </w:div>
    <w:div w:id="1414930061">
      <w:bodyDiv w:val="1"/>
      <w:marLeft w:val="0"/>
      <w:marRight w:val="0"/>
      <w:marTop w:val="0"/>
      <w:marBottom w:val="0"/>
      <w:divBdr>
        <w:top w:val="none" w:sz="0" w:space="0" w:color="auto"/>
        <w:left w:val="none" w:sz="0" w:space="0" w:color="auto"/>
        <w:bottom w:val="none" w:sz="0" w:space="0" w:color="auto"/>
        <w:right w:val="none" w:sz="0" w:space="0" w:color="auto"/>
      </w:divBdr>
    </w:div>
    <w:div w:id="1505364806">
      <w:bodyDiv w:val="1"/>
      <w:marLeft w:val="0"/>
      <w:marRight w:val="0"/>
      <w:marTop w:val="0"/>
      <w:marBottom w:val="0"/>
      <w:divBdr>
        <w:top w:val="none" w:sz="0" w:space="0" w:color="auto"/>
        <w:left w:val="none" w:sz="0" w:space="0" w:color="auto"/>
        <w:bottom w:val="none" w:sz="0" w:space="0" w:color="auto"/>
        <w:right w:val="none" w:sz="0" w:space="0" w:color="auto"/>
      </w:divBdr>
    </w:div>
    <w:div w:id="1541629526">
      <w:bodyDiv w:val="1"/>
      <w:marLeft w:val="0"/>
      <w:marRight w:val="0"/>
      <w:marTop w:val="0"/>
      <w:marBottom w:val="0"/>
      <w:divBdr>
        <w:top w:val="none" w:sz="0" w:space="0" w:color="auto"/>
        <w:left w:val="none" w:sz="0" w:space="0" w:color="auto"/>
        <w:bottom w:val="none" w:sz="0" w:space="0" w:color="auto"/>
        <w:right w:val="none" w:sz="0" w:space="0" w:color="auto"/>
      </w:divBdr>
    </w:div>
    <w:div w:id="1566717571">
      <w:bodyDiv w:val="1"/>
      <w:marLeft w:val="0"/>
      <w:marRight w:val="0"/>
      <w:marTop w:val="0"/>
      <w:marBottom w:val="0"/>
      <w:divBdr>
        <w:top w:val="none" w:sz="0" w:space="0" w:color="auto"/>
        <w:left w:val="none" w:sz="0" w:space="0" w:color="auto"/>
        <w:bottom w:val="none" w:sz="0" w:space="0" w:color="auto"/>
        <w:right w:val="none" w:sz="0" w:space="0" w:color="auto"/>
      </w:divBdr>
      <w:divsChild>
        <w:div w:id="956912188">
          <w:marLeft w:val="0"/>
          <w:marRight w:val="0"/>
          <w:marTop w:val="0"/>
          <w:marBottom w:val="0"/>
          <w:divBdr>
            <w:top w:val="none" w:sz="0" w:space="0" w:color="auto"/>
            <w:left w:val="none" w:sz="0" w:space="0" w:color="auto"/>
            <w:bottom w:val="none" w:sz="0" w:space="0" w:color="auto"/>
            <w:right w:val="none" w:sz="0" w:space="0" w:color="auto"/>
          </w:divBdr>
        </w:div>
      </w:divsChild>
    </w:div>
    <w:div w:id="1699551572">
      <w:bodyDiv w:val="1"/>
      <w:marLeft w:val="0"/>
      <w:marRight w:val="0"/>
      <w:marTop w:val="0"/>
      <w:marBottom w:val="0"/>
      <w:divBdr>
        <w:top w:val="none" w:sz="0" w:space="0" w:color="auto"/>
        <w:left w:val="none" w:sz="0" w:space="0" w:color="auto"/>
        <w:bottom w:val="none" w:sz="0" w:space="0" w:color="auto"/>
        <w:right w:val="none" w:sz="0" w:space="0" w:color="auto"/>
      </w:divBdr>
    </w:div>
    <w:div w:id="1701854378">
      <w:bodyDiv w:val="1"/>
      <w:marLeft w:val="0"/>
      <w:marRight w:val="0"/>
      <w:marTop w:val="0"/>
      <w:marBottom w:val="0"/>
      <w:divBdr>
        <w:top w:val="none" w:sz="0" w:space="0" w:color="auto"/>
        <w:left w:val="none" w:sz="0" w:space="0" w:color="auto"/>
        <w:bottom w:val="none" w:sz="0" w:space="0" w:color="auto"/>
        <w:right w:val="none" w:sz="0" w:space="0" w:color="auto"/>
      </w:divBdr>
    </w:div>
    <w:div w:id="1774088837">
      <w:bodyDiv w:val="1"/>
      <w:marLeft w:val="0"/>
      <w:marRight w:val="0"/>
      <w:marTop w:val="0"/>
      <w:marBottom w:val="0"/>
      <w:divBdr>
        <w:top w:val="none" w:sz="0" w:space="0" w:color="auto"/>
        <w:left w:val="none" w:sz="0" w:space="0" w:color="auto"/>
        <w:bottom w:val="none" w:sz="0" w:space="0" w:color="auto"/>
        <w:right w:val="none" w:sz="0" w:space="0" w:color="auto"/>
      </w:divBdr>
    </w:div>
    <w:div w:id="1922596112">
      <w:bodyDiv w:val="1"/>
      <w:marLeft w:val="0"/>
      <w:marRight w:val="0"/>
      <w:marTop w:val="0"/>
      <w:marBottom w:val="0"/>
      <w:divBdr>
        <w:top w:val="none" w:sz="0" w:space="0" w:color="auto"/>
        <w:left w:val="none" w:sz="0" w:space="0" w:color="auto"/>
        <w:bottom w:val="none" w:sz="0" w:space="0" w:color="auto"/>
        <w:right w:val="none" w:sz="0" w:space="0" w:color="auto"/>
      </w:divBdr>
    </w:div>
    <w:div w:id="2004160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ustainablehealthcare.org.uk/" TargetMode="External"/><Relationship Id="rId18" Type="http://schemas.openxmlformats.org/officeDocument/2006/relationships/image" Target="media/image1.png"/><Relationship Id="rId26" Type="http://schemas.openxmlformats.org/officeDocument/2006/relationships/image" Target="media/image8.png"/><Relationship Id="rId21" Type="http://schemas.openxmlformats.org/officeDocument/2006/relationships/image" Target="media/image3.png"/><Relationship Id="rId34" Type="http://schemas.openxmlformats.org/officeDocument/2006/relationships/hyperlink" Target="https://www.susqi.org/about-4" TargetMode="External"/><Relationship Id="rId7" Type="http://schemas.openxmlformats.org/officeDocument/2006/relationships/hyperlink" Target="https://www.gov.uk/government/collections/health-and-care-act-2022" TargetMode="External"/><Relationship Id="rId12" Type="http://schemas.openxmlformats.org/officeDocument/2006/relationships/hyperlink" Target="file:///C:\Users\coby.corbett\AppData\Local\Microsoft\Windows\INetCache\Content.Outlook\71OS4A53\SIP%20Literature\Key%20Policy\delivering-a-net-zero-national-health-service.pdf" TargetMode="External"/><Relationship Id="rId17" Type="http://schemas.openxmlformats.org/officeDocument/2006/relationships/hyperlink" Target="https://staff.ekhuft.nhs.uk/Interact/Pages/Content/Document.aspx?id=8493" TargetMode="External"/><Relationship Id="rId25" Type="http://schemas.openxmlformats.org/officeDocument/2006/relationships/image" Target="media/image7.png"/><Relationship Id="rId33" Type="http://schemas.openxmlformats.org/officeDocument/2006/relationships/hyperlink" Target="https://staff.ekhuft.nhs.uk/Interact/Pages/Content/Document.aspx?id=2385"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hee.nhs.uk/sites/default/files/Enhance%2520Handbook.pdf" TargetMode="External"/><Relationship Id="rId20" Type="http://schemas.openxmlformats.org/officeDocument/2006/relationships/hyperlink" Target="https://sustainablehealthcare.org.uk/sustainable-quality-improvement-susqi/" TargetMode="External"/><Relationship Id="rId29" Type="http://schemas.openxmlformats.org/officeDocument/2006/relationships/image" Target="media/image11.png"/><Relationship Id="rId1" Type="http://schemas.openxmlformats.org/officeDocument/2006/relationships/numbering" Target="numbering.xml"/><Relationship Id="rId6" Type="http://schemas.openxmlformats.org/officeDocument/2006/relationships/hyperlink" Target="https://www.england.nhs.uk/greenernhs/wp-content/uploads/sites/51/2020/10/delivering-a-net-zero-national-health-service.pdf" TargetMode="External"/><Relationship Id="rId11" Type="http://schemas.openxmlformats.org/officeDocument/2006/relationships/hyperlink" Target="https://sustainablehealthcare.org.uk/sustainable-quality-improvement-susqi/" TargetMode="External"/><Relationship Id="rId24" Type="http://schemas.openxmlformats.org/officeDocument/2006/relationships/image" Target="media/image6.png"/><Relationship Id="rId32" Type="http://schemas.openxmlformats.org/officeDocument/2006/relationships/hyperlink" Target="https://www.rcgp.org.uk/mrcgp-exams/wpba/qip" TargetMode="External"/><Relationship Id="rId37" Type="http://schemas.openxmlformats.org/officeDocument/2006/relationships/fontTable" Target="fontTable.xml"/><Relationship Id="rId5" Type="http://schemas.openxmlformats.org/officeDocument/2006/relationships/hyperlink" Target="https://www.england.nhs.uk/long-read/five-years-greener-nhs-progress-forward-look/" TargetMode="External"/><Relationship Id="rId15" Type="http://schemas.openxmlformats.org/officeDocument/2006/relationships/hyperlink" Target="https://www.hee.nhs.uk/sites/default/files/Enhance%2520Handbook.pdf" TargetMode="External"/><Relationship Id="rId23" Type="http://schemas.openxmlformats.org/officeDocument/2006/relationships/image" Target="media/image5.png"/><Relationship Id="rId28" Type="http://schemas.openxmlformats.org/officeDocument/2006/relationships/image" Target="media/image10.png"/><Relationship Id="rId36" Type="http://schemas.openxmlformats.org/officeDocument/2006/relationships/hyperlink" Target="https://www.ekhuft.nhs.uk/s3/assets/files/annual_reports_and_publications/web-east-kent-hospitals-university-nhs-foundation-trust---quality-account-2024-2025-final---accessible.pdf" TargetMode="External"/><Relationship Id="rId10" Type="http://schemas.openxmlformats.org/officeDocument/2006/relationships/hyperlink" Target="https://www.susqi.org/" TargetMode="External"/><Relationship Id="rId19" Type="http://schemas.openxmlformats.org/officeDocument/2006/relationships/image" Target="media/image2.png"/><Relationship Id="rId31" Type="http://schemas.openxmlformats.org/officeDocument/2006/relationships/hyperlink" Target="https://www.rcseng.ac.uk/-/media/files/rcs/standards-and-research/standards-and-policy/good-practice-guides/2021/rcs-england-trainees-guide-to-a-quality-improvement-project-2021.pdf" TargetMode="External"/><Relationship Id="rId4" Type="http://schemas.openxmlformats.org/officeDocument/2006/relationships/webSettings" Target="webSettings.xml"/><Relationship Id="rId9" Type="http://schemas.openxmlformats.org/officeDocument/2006/relationships/hyperlink" Target="https://www.ekhuft.nhs.uk/s3/assets/files/environmental_sustainability/ekhuft_greenplanjan26.docx" TargetMode="External"/><Relationship Id="rId14" Type="http://schemas.openxmlformats.org/officeDocument/2006/relationships/hyperlink" Target="https://www.susqi.org/the-susqi-education-project" TargetMode="External"/><Relationship Id="rId22" Type="http://schemas.openxmlformats.org/officeDocument/2006/relationships/image" Target="media/image4.png"/><Relationship Id="rId27" Type="http://schemas.openxmlformats.org/officeDocument/2006/relationships/image" Target="media/image9.png"/><Relationship Id="rId30" Type="http://schemas.openxmlformats.org/officeDocument/2006/relationships/image" Target="media/image12.png"/><Relationship Id="rId35" Type="http://schemas.openxmlformats.org/officeDocument/2006/relationships/image" Target="media/image13.png"/><Relationship Id="rId8" Type="http://schemas.openxmlformats.org/officeDocument/2006/relationships/hyperlink" Target="https://www.gmc-uk.org/professional-standards/good-medical-practice-2024"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4606</Words>
  <Characters>26255</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EKHUFT</Company>
  <LinksUpToDate>false</LinksUpToDate>
  <CharactersWithSpaces>30800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Lee</dc:creator>
  <cp:keywords/>
  <dc:description/>
  <cp:lastModifiedBy>LEE, James (EAST KENT HOSPITALS UNIVERSITY NHS FOUNDATION TRUST)</cp:lastModifiedBy>
  <cp:revision>2</cp:revision>
  <dcterms:created xsi:type="dcterms:W3CDTF">2026-05-20T08:42:00Z</dcterms:created>
  <dcterms:modified xsi:type="dcterms:W3CDTF">2026-05-20T08:42:00Z</dcterms:modified>
</cp:coreProperties>
</file>