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F605B" w14:textId="355CBC3F" w:rsidR="00CC7801" w:rsidRDefault="00534DAC" w:rsidP="00CC7801">
      <w:pPr>
        <w:jc w:val="center"/>
        <w:rPr>
          <w:b/>
          <w:bCs/>
        </w:rPr>
      </w:pPr>
      <w:r w:rsidRPr="00CC7801">
        <w:rPr>
          <w:b/>
          <w:bCs/>
        </w:rPr>
        <w:t>Frequently asked Questions</w:t>
      </w:r>
      <w:r w:rsidR="001A6F08" w:rsidRPr="00CC7801">
        <w:rPr>
          <w:b/>
          <w:bCs/>
        </w:rPr>
        <w:t xml:space="preserve"> from CSH </w:t>
      </w:r>
      <w:r w:rsidR="00486D39" w:rsidRPr="00CC7801">
        <w:rPr>
          <w:b/>
          <w:bCs/>
        </w:rPr>
        <w:t>Resp</w:t>
      </w:r>
      <w:r w:rsidR="00D74416" w:rsidRPr="00CC7801">
        <w:rPr>
          <w:b/>
          <w:bCs/>
        </w:rPr>
        <w:t>iratory</w:t>
      </w:r>
      <w:r w:rsidR="00486D39" w:rsidRPr="00CC7801">
        <w:rPr>
          <w:b/>
          <w:bCs/>
        </w:rPr>
        <w:t xml:space="preserve"> </w:t>
      </w:r>
      <w:proofErr w:type="spellStart"/>
      <w:r w:rsidR="00486D39" w:rsidRPr="00CC7801">
        <w:rPr>
          <w:b/>
          <w:bCs/>
        </w:rPr>
        <w:t>Susnet</w:t>
      </w:r>
      <w:proofErr w:type="spellEnd"/>
      <w:r w:rsidR="00486D39" w:rsidRPr="00CC7801">
        <w:rPr>
          <w:b/>
          <w:bCs/>
        </w:rPr>
        <w:t xml:space="preserve"> s</w:t>
      </w:r>
      <w:r w:rsidR="001A6F08" w:rsidRPr="00CC7801">
        <w:rPr>
          <w:b/>
          <w:bCs/>
        </w:rPr>
        <w:t>haring meeting</w:t>
      </w:r>
      <w:r w:rsidR="0050316B" w:rsidRPr="00CC7801">
        <w:rPr>
          <w:b/>
          <w:bCs/>
        </w:rPr>
        <w:t xml:space="preserve">  </w:t>
      </w:r>
    </w:p>
    <w:p w14:paraId="7B74ADCD" w14:textId="02A2FAE2" w:rsidR="00534DAC" w:rsidRPr="00CC7801" w:rsidRDefault="0050316B" w:rsidP="00CC7801">
      <w:pPr>
        <w:jc w:val="center"/>
        <w:rPr>
          <w:b/>
          <w:bCs/>
        </w:rPr>
      </w:pPr>
      <w:r w:rsidRPr="00CC7801">
        <w:rPr>
          <w:b/>
          <w:bCs/>
        </w:rPr>
        <w:t>June 2025</w:t>
      </w:r>
    </w:p>
    <w:p w14:paraId="65D16938" w14:textId="77777777" w:rsidR="00534DAC" w:rsidRDefault="00534DAC"/>
    <w:p w14:paraId="011D0398" w14:textId="4008AD18" w:rsidR="00534DAC" w:rsidRPr="00CE31BF" w:rsidRDefault="00037D34" w:rsidP="00486D39">
      <w:pPr>
        <w:jc w:val="center"/>
        <w:rPr>
          <w:b/>
          <w:bCs/>
          <w:u w:val="single"/>
        </w:rPr>
      </w:pPr>
      <w:r w:rsidRPr="00CE31BF">
        <w:rPr>
          <w:b/>
          <w:bCs/>
          <w:u w:val="single"/>
        </w:rPr>
        <w:t xml:space="preserve">Questions on </w:t>
      </w:r>
      <w:r w:rsidR="00534DAC" w:rsidRPr="00CE31BF">
        <w:rPr>
          <w:b/>
          <w:bCs/>
          <w:u w:val="single"/>
        </w:rPr>
        <w:t>AIR/MART</w:t>
      </w:r>
      <w:r w:rsidR="00486D39" w:rsidRPr="00CE31BF">
        <w:rPr>
          <w:b/>
          <w:bCs/>
          <w:u w:val="single"/>
        </w:rPr>
        <w:t xml:space="preserve"> Regimes</w:t>
      </w:r>
    </w:p>
    <w:p w14:paraId="0CE3F095" w14:textId="7E2C8BF4" w:rsidR="00534DAC" w:rsidRPr="00486D39" w:rsidRDefault="00534DAC" w:rsidP="00534DAC">
      <w:pPr>
        <w:pStyle w:val="ListParagraph"/>
        <w:numPr>
          <w:ilvl w:val="0"/>
          <w:numId w:val="2"/>
        </w:numPr>
        <w:rPr>
          <w:b/>
          <w:bCs/>
        </w:rPr>
      </w:pPr>
      <w:r w:rsidRPr="00486D39">
        <w:rPr>
          <w:b/>
          <w:bCs/>
        </w:rPr>
        <w:t>If patients are using additional doses, are there risks from too much inhaled corticosteroid?</w:t>
      </w:r>
    </w:p>
    <w:p w14:paraId="76DA25B6" w14:textId="6A07955E" w:rsidR="00534DAC" w:rsidRDefault="00534DAC" w:rsidP="00534DAC">
      <w:pPr>
        <w:pStyle w:val="ListParagraph"/>
      </w:pPr>
    </w:p>
    <w:p w14:paraId="7B38FFBD" w14:textId="19892A25" w:rsidR="00534DAC" w:rsidRDefault="00534DAC" w:rsidP="00534DAC">
      <w:pPr>
        <w:pStyle w:val="ListParagraph"/>
      </w:pPr>
      <w:r>
        <w:t>Evidence shows</w:t>
      </w:r>
      <w:r w:rsidR="00CC7801">
        <w:t xml:space="preserve"> a</w:t>
      </w:r>
      <w:r>
        <w:t xml:space="preserve"> lower overall steroid burden and </w:t>
      </w:r>
      <w:r w:rsidR="00CC7801">
        <w:t xml:space="preserve">a </w:t>
      </w:r>
      <w:r>
        <w:t xml:space="preserve">reduced risk of asthma exacerbations. </w:t>
      </w:r>
      <w:r w:rsidR="0050316B">
        <w:t>(1)</w:t>
      </w:r>
    </w:p>
    <w:p w14:paraId="0EEF39F6" w14:textId="40AB17A1" w:rsidR="00534DAC" w:rsidRDefault="00CC7801" w:rsidP="00534DAC">
      <w:pPr>
        <w:pStyle w:val="ListParagraph"/>
      </w:pPr>
      <w:r>
        <w:t>There are m</w:t>
      </w:r>
      <w:r w:rsidR="00534DAC">
        <w:t>uch greater risks of needing oral steroids if asthma</w:t>
      </w:r>
      <w:r>
        <w:t xml:space="preserve"> is</w:t>
      </w:r>
      <w:r w:rsidR="00534DAC">
        <w:t xml:space="preserve"> uncontrolled and</w:t>
      </w:r>
      <w:r>
        <w:t xml:space="preserve"> </w:t>
      </w:r>
      <w:r w:rsidR="00534DAC">
        <w:t>patient</w:t>
      </w:r>
      <w:r w:rsidR="00436D12">
        <w:t>s'</w:t>
      </w:r>
      <w:r w:rsidR="00534DAC">
        <w:t xml:space="preserve"> needs oral prednisolone for an asthma exacerbation. Oral prednisolone </w:t>
      </w:r>
      <w:r w:rsidR="00BB29D2">
        <w:t xml:space="preserve">dose </w:t>
      </w:r>
      <w:r w:rsidR="00534DAC">
        <w:t xml:space="preserve">is 1000x higher and has unwanted systemic side effects. </w:t>
      </w:r>
    </w:p>
    <w:p w14:paraId="30767B30" w14:textId="472CC550" w:rsidR="00534DAC" w:rsidRDefault="00534DAC" w:rsidP="00534DAC">
      <w:pPr>
        <w:pStyle w:val="ListParagraph"/>
      </w:pPr>
      <w:r>
        <w:t xml:space="preserve">A few short courses of prednisolone over a lifetime increases risk of cataracts, diabetes, osteoporosis. </w:t>
      </w:r>
    </w:p>
    <w:p w14:paraId="7F711B4A" w14:textId="77777777" w:rsidR="00435472" w:rsidRDefault="00435472" w:rsidP="00534DAC">
      <w:pPr>
        <w:pStyle w:val="ListParagraph"/>
      </w:pPr>
    </w:p>
    <w:p w14:paraId="3D509C38" w14:textId="2ACE18DD" w:rsidR="00435472" w:rsidRDefault="00435472" w:rsidP="00534DAC">
      <w:pPr>
        <w:pStyle w:val="ListParagraph"/>
      </w:pPr>
      <w:r>
        <w:t xml:space="preserve">If patients are concerned about </w:t>
      </w:r>
      <w:r w:rsidR="00CC7801">
        <w:t xml:space="preserve">using inhaled </w:t>
      </w:r>
      <w:r>
        <w:t>steroid</w:t>
      </w:r>
      <w:r w:rsidR="00CC7801">
        <w:t>s</w:t>
      </w:r>
      <w:r>
        <w:t>,</w:t>
      </w:r>
      <w:r w:rsidR="0050316B">
        <w:t xml:space="preserve"> Professor Rob Horne's work suggests</w:t>
      </w:r>
      <w:r w:rsidR="00486D39">
        <w:t xml:space="preserve"> </w:t>
      </w:r>
      <w:r>
        <w:t>it may be helpful to explain that their airways are responding to</w:t>
      </w:r>
      <w:r w:rsidR="00CD321E">
        <w:t>o</w:t>
      </w:r>
      <w:r>
        <w:t xml:space="preserve"> strongly to triggers </w:t>
      </w:r>
      <w:r w:rsidR="001A6F08">
        <w:t xml:space="preserve">causing their airways to swell. They </w:t>
      </w:r>
      <w:r>
        <w:t xml:space="preserve">need more of the steroid </w:t>
      </w:r>
      <w:r w:rsidRPr="00486D39">
        <w:rPr>
          <w:i/>
          <w:iCs/>
        </w:rPr>
        <w:t>that their body naturally produces</w:t>
      </w:r>
      <w:r>
        <w:t xml:space="preserve"> to </w:t>
      </w:r>
      <w:r w:rsidR="001A6F08">
        <w:t xml:space="preserve">counter this. </w:t>
      </w:r>
    </w:p>
    <w:p w14:paraId="009F5DCA" w14:textId="77777777" w:rsidR="00534DAC" w:rsidRDefault="00534DAC" w:rsidP="00534DAC"/>
    <w:p w14:paraId="3727457C" w14:textId="4F524C2D" w:rsidR="00534DAC" w:rsidRDefault="00534DAC" w:rsidP="00534DAC">
      <w:pPr>
        <w:pStyle w:val="ListParagraph"/>
        <w:numPr>
          <w:ilvl w:val="0"/>
          <w:numId w:val="2"/>
        </w:numPr>
        <w:rPr>
          <w:b/>
          <w:bCs/>
        </w:rPr>
      </w:pPr>
      <w:r w:rsidRPr="00486D39">
        <w:rPr>
          <w:b/>
          <w:bCs/>
        </w:rPr>
        <w:t xml:space="preserve">How do we inform patients about the different expiry dates. Especially as these vary in terms of if inhaler </w:t>
      </w:r>
      <w:proofErr w:type="gramStart"/>
      <w:r w:rsidRPr="00486D39">
        <w:rPr>
          <w:b/>
          <w:bCs/>
        </w:rPr>
        <w:t>opened?</w:t>
      </w:r>
      <w:proofErr w:type="gramEnd"/>
    </w:p>
    <w:p w14:paraId="4B3B3E04" w14:textId="77777777" w:rsidR="00CF2329" w:rsidRDefault="00CF2329" w:rsidP="002B3B3B">
      <w:pPr>
        <w:pStyle w:val="ListParagraph"/>
      </w:pPr>
    </w:p>
    <w:p w14:paraId="5E2520BC" w14:textId="03A77B8B" w:rsidR="001F52EC" w:rsidRDefault="001F52EC" w:rsidP="002B3B3B">
      <w:pPr>
        <w:pStyle w:val="ListParagraph"/>
      </w:pPr>
      <w:r>
        <w:t>Certain brands of beclomethasone/formoterol pressurised metered dose inhalers (</w:t>
      </w:r>
      <w:proofErr w:type="spellStart"/>
      <w:r>
        <w:t>Fostair</w:t>
      </w:r>
      <w:proofErr w:type="spellEnd"/>
      <w:r>
        <w:t xml:space="preserve">®, </w:t>
      </w:r>
      <w:proofErr w:type="spellStart"/>
      <w:r>
        <w:t>Luforbec</w:t>
      </w:r>
      <w:proofErr w:type="spellEnd"/>
      <w:r>
        <w:t xml:space="preserve">® and </w:t>
      </w:r>
      <w:proofErr w:type="spellStart"/>
      <w:r>
        <w:t>Bibefco</w:t>
      </w:r>
      <w:proofErr w:type="spellEnd"/>
      <w:r>
        <w:t xml:space="preserve">®) need to be stored in the fridge and need to be thrown away three months after they are removed from the fridge.  This will be on the patient information </w:t>
      </w:r>
      <w:proofErr w:type="gramStart"/>
      <w:r>
        <w:t>leaflet</w:t>
      </w:r>
      <w:proofErr w:type="gramEnd"/>
      <w:r>
        <w:t xml:space="preserve"> and the pharmacy should place a label on the product to highlight that it cannot be used after 3 months.  Some dry powder inhalers also have a limited expiry date once in use (see table below for more detail).  Patients should be counselled on this when it is prescribed for AIR regime. 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776"/>
      </w:tblGrid>
      <w:tr w:rsidR="001F52EC" w14:paraId="1EA8B273" w14:textId="77777777" w:rsidTr="002B3B3B">
        <w:tc>
          <w:tcPr>
            <w:tcW w:w="4536" w:type="dxa"/>
          </w:tcPr>
          <w:p w14:paraId="5165A563" w14:textId="77777777" w:rsidR="001F52EC" w:rsidRDefault="001F52EC" w:rsidP="00AB6FDB">
            <w:r>
              <w:t>Inhaler</w:t>
            </w:r>
          </w:p>
        </w:tc>
        <w:tc>
          <w:tcPr>
            <w:tcW w:w="3776" w:type="dxa"/>
          </w:tcPr>
          <w:p w14:paraId="43869FAE" w14:textId="77777777" w:rsidR="001F52EC" w:rsidRDefault="001F52EC" w:rsidP="00AB6FDB">
            <w:r>
              <w:t>Expiry date once opened</w:t>
            </w:r>
          </w:p>
        </w:tc>
      </w:tr>
      <w:tr w:rsidR="001F52EC" w14:paraId="5943DA57" w14:textId="77777777" w:rsidTr="002B3B3B">
        <w:tc>
          <w:tcPr>
            <w:tcW w:w="4536" w:type="dxa"/>
          </w:tcPr>
          <w:p w14:paraId="48D2B041" w14:textId="77777777" w:rsidR="001F52EC" w:rsidRDefault="001F52EC" w:rsidP="00AB6FDB">
            <w:proofErr w:type="spellStart"/>
            <w:proofErr w:type="gramStart"/>
            <w:r>
              <w:t>Fostair</w:t>
            </w:r>
            <w:proofErr w:type="spellEnd"/>
            <w:r>
              <w:t xml:space="preserve">,  </w:t>
            </w:r>
            <w:proofErr w:type="spellStart"/>
            <w:r>
              <w:t>Luforbec</w:t>
            </w:r>
            <w:proofErr w:type="spellEnd"/>
            <w:proofErr w:type="gramEnd"/>
            <w:r>
              <w:t xml:space="preserve"> and </w:t>
            </w:r>
            <w:proofErr w:type="spellStart"/>
            <w:r>
              <w:t>Bibefco</w:t>
            </w:r>
            <w:proofErr w:type="spellEnd"/>
            <w:r>
              <w:t xml:space="preserve"> </w:t>
            </w:r>
            <w:proofErr w:type="spellStart"/>
            <w:r>
              <w:t>pMDI</w:t>
            </w:r>
            <w:proofErr w:type="spellEnd"/>
          </w:p>
        </w:tc>
        <w:tc>
          <w:tcPr>
            <w:tcW w:w="3776" w:type="dxa"/>
          </w:tcPr>
          <w:p w14:paraId="55C09C95" w14:textId="77777777" w:rsidR="001F52EC" w:rsidRDefault="001F52EC" w:rsidP="00AB6FDB">
            <w:r>
              <w:t>3 months</w:t>
            </w:r>
          </w:p>
        </w:tc>
      </w:tr>
      <w:tr w:rsidR="001F52EC" w14:paraId="6EAFCE75" w14:textId="77777777" w:rsidTr="002B3B3B">
        <w:tc>
          <w:tcPr>
            <w:tcW w:w="4536" w:type="dxa"/>
          </w:tcPr>
          <w:p w14:paraId="1B1C301F" w14:textId="77777777" w:rsidR="001F52EC" w:rsidRDefault="001F52EC" w:rsidP="00AB6FDB">
            <w:proofErr w:type="spellStart"/>
            <w:r>
              <w:t>Fobumix</w:t>
            </w:r>
            <w:proofErr w:type="spellEnd"/>
            <w:r>
              <w:t xml:space="preserve"> </w:t>
            </w:r>
            <w:proofErr w:type="spellStart"/>
            <w:r>
              <w:t>Easyhaler</w:t>
            </w:r>
            <w:proofErr w:type="spellEnd"/>
          </w:p>
        </w:tc>
        <w:tc>
          <w:tcPr>
            <w:tcW w:w="3776" w:type="dxa"/>
          </w:tcPr>
          <w:p w14:paraId="236EDA0C" w14:textId="77777777" w:rsidR="001F52EC" w:rsidRDefault="001F52EC" w:rsidP="00AB6FDB">
            <w:r>
              <w:t>4 months</w:t>
            </w:r>
          </w:p>
        </w:tc>
      </w:tr>
      <w:tr w:rsidR="001F52EC" w14:paraId="49CC923C" w14:textId="77777777" w:rsidTr="002B3B3B">
        <w:tc>
          <w:tcPr>
            <w:tcW w:w="4536" w:type="dxa"/>
          </w:tcPr>
          <w:p w14:paraId="69903F02" w14:textId="77777777" w:rsidR="001F52EC" w:rsidRDefault="001F52EC" w:rsidP="00AB6FDB">
            <w:proofErr w:type="spellStart"/>
            <w:r>
              <w:t>Duoresp</w:t>
            </w:r>
            <w:proofErr w:type="spellEnd"/>
            <w:r>
              <w:t xml:space="preserve"> </w:t>
            </w:r>
            <w:proofErr w:type="spellStart"/>
            <w:r>
              <w:t>Spiromax</w:t>
            </w:r>
            <w:proofErr w:type="spellEnd"/>
          </w:p>
        </w:tc>
        <w:tc>
          <w:tcPr>
            <w:tcW w:w="3776" w:type="dxa"/>
          </w:tcPr>
          <w:p w14:paraId="5DCE2E21" w14:textId="77777777" w:rsidR="001F52EC" w:rsidRDefault="001F52EC" w:rsidP="00AB6FDB">
            <w:r>
              <w:t>12 months</w:t>
            </w:r>
          </w:p>
        </w:tc>
      </w:tr>
      <w:tr w:rsidR="001F52EC" w14:paraId="509E0125" w14:textId="77777777" w:rsidTr="002B3B3B">
        <w:tc>
          <w:tcPr>
            <w:tcW w:w="4536" w:type="dxa"/>
          </w:tcPr>
          <w:p w14:paraId="4812F75D" w14:textId="77777777" w:rsidR="001F52EC" w:rsidRDefault="001F52EC" w:rsidP="00AB6FDB">
            <w:r>
              <w:t xml:space="preserve">Symbicort </w:t>
            </w:r>
            <w:proofErr w:type="spellStart"/>
            <w:r>
              <w:t>Turbohaler</w:t>
            </w:r>
            <w:proofErr w:type="spellEnd"/>
          </w:p>
        </w:tc>
        <w:tc>
          <w:tcPr>
            <w:tcW w:w="3776" w:type="dxa"/>
          </w:tcPr>
          <w:p w14:paraId="1AA89663" w14:textId="77777777" w:rsidR="001F52EC" w:rsidRDefault="001F52EC" w:rsidP="00AB6FDB">
            <w:r>
              <w:t>3 years</w:t>
            </w:r>
          </w:p>
        </w:tc>
      </w:tr>
      <w:tr w:rsidR="001F52EC" w14:paraId="382C57C7" w14:textId="77777777" w:rsidTr="002B3B3B">
        <w:tc>
          <w:tcPr>
            <w:tcW w:w="4536" w:type="dxa"/>
          </w:tcPr>
          <w:p w14:paraId="589ED696" w14:textId="77777777" w:rsidR="001F52EC" w:rsidRDefault="001F52EC" w:rsidP="00AB6FDB">
            <w:proofErr w:type="spellStart"/>
            <w:r>
              <w:t>Fostair</w:t>
            </w:r>
            <w:proofErr w:type="spellEnd"/>
            <w:r>
              <w:t xml:space="preserve"> </w:t>
            </w:r>
            <w:proofErr w:type="spellStart"/>
            <w:r>
              <w:t>Nexthaler</w:t>
            </w:r>
            <w:proofErr w:type="spellEnd"/>
          </w:p>
        </w:tc>
        <w:tc>
          <w:tcPr>
            <w:tcW w:w="3776" w:type="dxa"/>
          </w:tcPr>
          <w:p w14:paraId="609B12C7" w14:textId="77777777" w:rsidR="001F52EC" w:rsidRDefault="001F52EC" w:rsidP="00AB6FDB">
            <w:r>
              <w:t>6 months</w:t>
            </w:r>
          </w:p>
        </w:tc>
      </w:tr>
      <w:tr w:rsidR="001F52EC" w14:paraId="7833854E" w14:textId="77777777" w:rsidTr="002B3B3B">
        <w:tc>
          <w:tcPr>
            <w:tcW w:w="4536" w:type="dxa"/>
          </w:tcPr>
          <w:p w14:paraId="18302DF5" w14:textId="77777777" w:rsidR="001F52EC" w:rsidRDefault="001F52EC" w:rsidP="00AB6FDB">
            <w:proofErr w:type="spellStart"/>
            <w:r>
              <w:t>WockAir</w:t>
            </w:r>
            <w:proofErr w:type="spellEnd"/>
            <w:r>
              <w:t xml:space="preserve"> DPI </w:t>
            </w:r>
          </w:p>
        </w:tc>
        <w:tc>
          <w:tcPr>
            <w:tcW w:w="3776" w:type="dxa"/>
          </w:tcPr>
          <w:p w14:paraId="0B5FE07B" w14:textId="77777777" w:rsidR="001F52EC" w:rsidRDefault="001F52EC" w:rsidP="00AB6FDB">
            <w:r>
              <w:t>2 years</w:t>
            </w:r>
          </w:p>
        </w:tc>
      </w:tr>
    </w:tbl>
    <w:p w14:paraId="32E869E3" w14:textId="77777777" w:rsidR="0008719A" w:rsidRPr="00486D39" w:rsidRDefault="0008719A" w:rsidP="002B3B3B">
      <w:pPr>
        <w:pStyle w:val="ListParagraph"/>
        <w:rPr>
          <w:b/>
          <w:bCs/>
        </w:rPr>
      </w:pPr>
    </w:p>
    <w:p w14:paraId="3057D176" w14:textId="77777777" w:rsidR="00534DAC" w:rsidRPr="00486D39" w:rsidRDefault="00534DAC" w:rsidP="00534DAC">
      <w:pPr>
        <w:pStyle w:val="ListParagraph"/>
        <w:rPr>
          <w:b/>
          <w:bCs/>
        </w:rPr>
      </w:pPr>
    </w:p>
    <w:p w14:paraId="03A6C81E" w14:textId="6E38450C" w:rsidR="00534DAC" w:rsidRPr="00486D39" w:rsidRDefault="00534DAC" w:rsidP="00534DAC">
      <w:pPr>
        <w:pStyle w:val="ListParagraph"/>
        <w:numPr>
          <w:ilvl w:val="0"/>
          <w:numId w:val="2"/>
        </w:numPr>
        <w:rPr>
          <w:b/>
          <w:bCs/>
        </w:rPr>
      </w:pPr>
      <w:r w:rsidRPr="00486D39">
        <w:rPr>
          <w:b/>
          <w:bCs/>
        </w:rPr>
        <w:t>How can we assess asthma control based on how frequently patients are requesting inhalers, if additional use is variable?</w:t>
      </w:r>
    </w:p>
    <w:p w14:paraId="7069C0D6" w14:textId="77777777" w:rsidR="00435472" w:rsidRDefault="00435472" w:rsidP="00435472">
      <w:pPr>
        <w:pStyle w:val="ListParagraph"/>
      </w:pPr>
    </w:p>
    <w:p w14:paraId="50B58CE7" w14:textId="7AF20042" w:rsidR="00435472" w:rsidRDefault="00435472" w:rsidP="00435472">
      <w:r>
        <w:t xml:space="preserve">There is no definitive answer to this. However, if a patient is well controlled on a MART inhaler, they will rarely have to take additional doses and two doses a week additional doses on average would be reasonable. If patients are regularly needing to use more than one additional dose a day, they would need a review to assess this. </w:t>
      </w:r>
    </w:p>
    <w:p w14:paraId="5FEB69EF" w14:textId="77777777" w:rsidR="00435472" w:rsidRDefault="00435472" w:rsidP="00435472">
      <w:r>
        <w:t xml:space="preserve">If we use the example of a 120 dose inhaler, we should be alerted to possible poor asthma control if </w:t>
      </w:r>
    </w:p>
    <w:p w14:paraId="654BE4DE" w14:textId="77777777" w:rsidR="00435472" w:rsidRDefault="00435472" w:rsidP="00486D39">
      <w:pPr>
        <w:pStyle w:val="ListParagraph"/>
        <w:numPr>
          <w:ilvl w:val="0"/>
          <w:numId w:val="5"/>
        </w:numPr>
      </w:pPr>
      <w:proofErr w:type="gramStart"/>
      <w:r>
        <w:t>AIR  -</w:t>
      </w:r>
      <w:proofErr w:type="gramEnd"/>
      <w:r>
        <w:t xml:space="preserve"> &gt;1 dose/day </w:t>
      </w:r>
      <w:proofErr w:type="gramStart"/>
      <w:r>
        <w:t>( 8</w:t>
      </w:r>
      <w:proofErr w:type="gramEnd"/>
      <w:r>
        <w:t xml:space="preserve"> doses weekly), regularly ordering it before 15 weeks (120 days)</w:t>
      </w:r>
    </w:p>
    <w:p w14:paraId="2B97F9D5" w14:textId="77777777" w:rsidR="00435472" w:rsidRDefault="00435472" w:rsidP="00486D39">
      <w:pPr>
        <w:pStyle w:val="ListParagraph"/>
        <w:numPr>
          <w:ilvl w:val="0"/>
          <w:numId w:val="5"/>
        </w:numPr>
      </w:pPr>
      <w:r>
        <w:t>MART - 1 puff twice a day, regularly ordering before 6 weeks</w:t>
      </w:r>
    </w:p>
    <w:p w14:paraId="51EA4C1B" w14:textId="77777777" w:rsidR="00CC7801" w:rsidRDefault="00435472" w:rsidP="00CC7801">
      <w:pPr>
        <w:pStyle w:val="ListParagraph"/>
        <w:numPr>
          <w:ilvl w:val="0"/>
          <w:numId w:val="5"/>
        </w:numPr>
      </w:pPr>
      <w:proofErr w:type="gramStart"/>
      <w:r>
        <w:t>MART  -</w:t>
      </w:r>
      <w:proofErr w:type="gramEnd"/>
      <w:r>
        <w:t xml:space="preserve"> 2 doses twice a day, regularly ordering before 3 weeks. </w:t>
      </w:r>
    </w:p>
    <w:p w14:paraId="1BAB4D3B" w14:textId="77777777" w:rsidR="0072525E" w:rsidRDefault="0072525E" w:rsidP="002B3B3B">
      <w:pPr>
        <w:ind w:left="360"/>
      </w:pPr>
      <w:r>
        <w:t>You should also consider if patients on MART are not ordering enough inhaler to take their regular daily dose.  In most patients one inhaler would last 8 weeks if they are taking 1 puff twice a day or 4 weeks if they are using 2 puffs twice a day.  Under use may increase their risk of uncontrolled asthma.</w:t>
      </w:r>
    </w:p>
    <w:p w14:paraId="7922ECE9" w14:textId="08D03F8F" w:rsidR="0072525E" w:rsidRDefault="0072525E" w:rsidP="002B3B3B"/>
    <w:p w14:paraId="61D453EA" w14:textId="6C09E02F" w:rsidR="00435472" w:rsidRPr="00486D39" w:rsidRDefault="00435472" w:rsidP="00435472">
      <w:pPr>
        <w:rPr>
          <w:sz w:val="20"/>
          <w:szCs w:val="20"/>
        </w:rPr>
      </w:pPr>
      <w:r w:rsidRPr="00486D39">
        <w:rPr>
          <w:sz w:val="20"/>
          <w:szCs w:val="20"/>
        </w:rPr>
        <w:t xml:space="preserve">Detailed workings for MART regimes explained below: </w:t>
      </w:r>
    </w:p>
    <w:p w14:paraId="29A4124C" w14:textId="77777777" w:rsidR="00435472" w:rsidRPr="00486D39" w:rsidRDefault="00435472" w:rsidP="00435472">
      <w:pPr>
        <w:rPr>
          <w:sz w:val="20"/>
          <w:szCs w:val="20"/>
        </w:rPr>
      </w:pPr>
      <w:r w:rsidRPr="00486D39">
        <w:rPr>
          <w:sz w:val="20"/>
          <w:szCs w:val="20"/>
        </w:rPr>
        <w:t xml:space="preserve">MART regime of 1 dose twice a day plus additional doses as needed. Inhaler has 120 doses. </w:t>
      </w:r>
    </w:p>
    <w:p w14:paraId="165EC2BB" w14:textId="77777777" w:rsidR="00435472" w:rsidRPr="00486D39" w:rsidRDefault="00435472" w:rsidP="00435472">
      <w:pPr>
        <w:rPr>
          <w:sz w:val="20"/>
          <w:szCs w:val="20"/>
        </w:rPr>
      </w:pPr>
      <w:r w:rsidRPr="00486D39">
        <w:rPr>
          <w:sz w:val="20"/>
          <w:szCs w:val="20"/>
        </w:rPr>
        <w:t xml:space="preserve">With no additional puffs used (14 doses a week) the inhaler will last 60 days (8 weeks plus 4 days). </w:t>
      </w:r>
    </w:p>
    <w:p w14:paraId="4C614099" w14:textId="77777777" w:rsidR="00435472" w:rsidRPr="00486D39" w:rsidRDefault="00435472" w:rsidP="00435472">
      <w:pPr>
        <w:rPr>
          <w:sz w:val="20"/>
          <w:szCs w:val="20"/>
        </w:rPr>
      </w:pPr>
      <w:r w:rsidRPr="00486D39">
        <w:rPr>
          <w:sz w:val="20"/>
          <w:szCs w:val="20"/>
        </w:rPr>
        <w:t xml:space="preserve">If additional 2 puffs a week (16 doses a week) - 52 days (7 weeks 2 days) </w:t>
      </w:r>
    </w:p>
    <w:p w14:paraId="49F7FE0E" w14:textId="77777777" w:rsidR="00435472" w:rsidRPr="00486D39" w:rsidRDefault="00435472" w:rsidP="00435472">
      <w:pPr>
        <w:rPr>
          <w:sz w:val="20"/>
          <w:szCs w:val="20"/>
        </w:rPr>
      </w:pPr>
      <w:r w:rsidRPr="00486D39">
        <w:rPr>
          <w:sz w:val="20"/>
          <w:szCs w:val="20"/>
        </w:rPr>
        <w:t xml:space="preserve">If additional 8 puffs a week (22 doses a week) – 38 days (5 weeks 3 days) </w:t>
      </w:r>
    </w:p>
    <w:p w14:paraId="49DA3C12" w14:textId="77777777" w:rsidR="00435472" w:rsidRPr="00486D39" w:rsidRDefault="00435472" w:rsidP="00435472">
      <w:pPr>
        <w:rPr>
          <w:sz w:val="20"/>
          <w:szCs w:val="20"/>
        </w:rPr>
      </w:pPr>
      <w:r w:rsidRPr="00486D39">
        <w:rPr>
          <w:sz w:val="20"/>
          <w:szCs w:val="20"/>
        </w:rPr>
        <w:t xml:space="preserve">If a patient was regularly needing to order their prescription every 5-6 weeks, this would mean they were using on average an additional 8 doses a week – or more than one a day. This would be a good marker for review. </w:t>
      </w:r>
    </w:p>
    <w:p w14:paraId="543F6856" w14:textId="77777777" w:rsidR="00435472" w:rsidRPr="00486D39" w:rsidRDefault="00435472" w:rsidP="00435472">
      <w:pPr>
        <w:rPr>
          <w:sz w:val="20"/>
          <w:szCs w:val="20"/>
        </w:rPr>
      </w:pPr>
      <w:r w:rsidRPr="00486D39">
        <w:rPr>
          <w:sz w:val="20"/>
          <w:szCs w:val="20"/>
        </w:rPr>
        <w:t xml:space="preserve">Example 2: MART regime of 2 doses twice a day plus additional dose as needed. 120 doses. </w:t>
      </w:r>
    </w:p>
    <w:p w14:paraId="1F92975E" w14:textId="77777777" w:rsidR="00435472" w:rsidRPr="00486D39" w:rsidRDefault="00435472" w:rsidP="00435472">
      <w:pPr>
        <w:rPr>
          <w:sz w:val="20"/>
          <w:szCs w:val="20"/>
        </w:rPr>
      </w:pPr>
      <w:r w:rsidRPr="00486D39">
        <w:rPr>
          <w:sz w:val="20"/>
          <w:szCs w:val="20"/>
        </w:rPr>
        <w:t xml:space="preserve">With no additional puffs (28 doses a week) </w:t>
      </w:r>
      <w:proofErr w:type="gramStart"/>
      <w:r w:rsidRPr="00486D39">
        <w:rPr>
          <w:sz w:val="20"/>
          <w:szCs w:val="20"/>
        </w:rPr>
        <w:t>-  30</w:t>
      </w:r>
      <w:proofErr w:type="gramEnd"/>
      <w:r w:rsidRPr="00486D39">
        <w:rPr>
          <w:sz w:val="20"/>
          <w:szCs w:val="20"/>
        </w:rPr>
        <w:t xml:space="preserve"> days. </w:t>
      </w:r>
    </w:p>
    <w:p w14:paraId="55C5A8BF" w14:textId="77777777" w:rsidR="00435472" w:rsidRPr="00486D39" w:rsidRDefault="00435472" w:rsidP="00435472">
      <w:pPr>
        <w:rPr>
          <w:sz w:val="20"/>
          <w:szCs w:val="20"/>
        </w:rPr>
      </w:pPr>
      <w:r w:rsidRPr="00486D39">
        <w:rPr>
          <w:sz w:val="20"/>
          <w:szCs w:val="20"/>
        </w:rPr>
        <w:t xml:space="preserve">If additional 2 puffs a week </w:t>
      </w:r>
      <w:proofErr w:type="gramStart"/>
      <w:r w:rsidRPr="00486D39">
        <w:rPr>
          <w:sz w:val="20"/>
          <w:szCs w:val="20"/>
        </w:rPr>
        <w:t>( 30</w:t>
      </w:r>
      <w:proofErr w:type="gramEnd"/>
      <w:r w:rsidRPr="00486D39">
        <w:rPr>
          <w:sz w:val="20"/>
          <w:szCs w:val="20"/>
        </w:rPr>
        <w:t xml:space="preserve"> doses a </w:t>
      </w:r>
      <w:proofErr w:type="gramStart"/>
      <w:r w:rsidRPr="00486D39">
        <w:rPr>
          <w:sz w:val="20"/>
          <w:szCs w:val="20"/>
        </w:rPr>
        <w:t>week)  -</w:t>
      </w:r>
      <w:proofErr w:type="gramEnd"/>
      <w:r w:rsidRPr="00486D39">
        <w:rPr>
          <w:sz w:val="20"/>
          <w:szCs w:val="20"/>
        </w:rPr>
        <w:t xml:space="preserve"> 28 days</w:t>
      </w:r>
    </w:p>
    <w:p w14:paraId="1AE778B0" w14:textId="77777777" w:rsidR="00435472" w:rsidRPr="00486D39" w:rsidRDefault="00435472" w:rsidP="00435472">
      <w:pPr>
        <w:rPr>
          <w:sz w:val="20"/>
          <w:szCs w:val="20"/>
        </w:rPr>
      </w:pPr>
      <w:r w:rsidRPr="00486D39">
        <w:rPr>
          <w:sz w:val="20"/>
          <w:szCs w:val="20"/>
        </w:rPr>
        <w:t xml:space="preserve">If additional 8 puff a week (38 doses a week) – 3 weeks 1 day. </w:t>
      </w:r>
    </w:p>
    <w:p w14:paraId="3D0DAE7C" w14:textId="77777777" w:rsidR="00435472" w:rsidRPr="00486D39" w:rsidRDefault="00435472" w:rsidP="00435472">
      <w:pPr>
        <w:rPr>
          <w:sz w:val="20"/>
          <w:szCs w:val="20"/>
        </w:rPr>
      </w:pPr>
      <w:r w:rsidRPr="00486D39">
        <w:rPr>
          <w:sz w:val="20"/>
          <w:szCs w:val="20"/>
        </w:rPr>
        <w:t xml:space="preserve">If the patient is regularly needing to order their inhaler every 3 weeks this would be cause for review. </w:t>
      </w:r>
    </w:p>
    <w:p w14:paraId="5D250626" w14:textId="77777777" w:rsidR="00435472" w:rsidRDefault="00435472" w:rsidP="00435472">
      <w:pPr>
        <w:pStyle w:val="ListParagraph"/>
      </w:pPr>
    </w:p>
    <w:p w14:paraId="3097019B" w14:textId="77777777" w:rsidR="00534DAC" w:rsidRDefault="00534DAC" w:rsidP="00534DAC">
      <w:pPr>
        <w:pStyle w:val="ListParagraph"/>
      </w:pPr>
    </w:p>
    <w:p w14:paraId="71E67157" w14:textId="62D7F642" w:rsidR="00534DAC" w:rsidRPr="00486D39" w:rsidRDefault="00435472" w:rsidP="00534DAC">
      <w:pPr>
        <w:pStyle w:val="ListParagraph"/>
        <w:numPr>
          <w:ilvl w:val="0"/>
          <w:numId w:val="2"/>
        </w:numPr>
        <w:rPr>
          <w:b/>
          <w:bCs/>
        </w:rPr>
      </w:pPr>
      <w:r w:rsidRPr="00486D39">
        <w:rPr>
          <w:b/>
          <w:bCs/>
        </w:rPr>
        <w:lastRenderedPageBreak/>
        <w:t xml:space="preserve">Do people on AIR or MART still need a SABA? </w:t>
      </w:r>
    </w:p>
    <w:p w14:paraId="5518EA96" w14:textId="3008A459" w:rsidR="00435472" w:rsidRDefault="00435472" w:rsidP="00435472">
      <w:r>
        <w:t xml:space="preserve">No! Formoterol works just as quickly as Salbutamol. Giving them SABA prevents the benefits of combination inhalers as patients may still use blue inhaler instead of combination inhaler as reliever. </w:t>
      </w:r>
    </w:p>
    <w:p w14:paraId="58ADAEBF" w14:textId="77777777" w:rsidR="00435472" w:rsidRDefault="00435472" w:rsidP="00435472"/>
    <w:p w14:paraId="4BCC52D5" w14:textId="3C5C3A46" w:rsidR="00435472" w:rsidRPr="00486D39" w:rsidRDefault="00435472" w:rsidP="00435472">
      <w:pPr>
        <w:pStyle w:val="ListParagraph"/>
        <w:numPr>
          <w:ilvl w:val="0"/>
          <w:numId w:val="2"/>
        </w:numPr>
        <w:rPr>
          <w:b/>
          <w:bCs/>
        </w:rPr>
      </w:pPr>
      <w:r w:rsidRPr="00486D39">
        <w:rPr>
          <w:b/>
          <w:bCs/>
        </w:rPr>
        <w:t>Don’t these combination inhaler regimes cost a lot more?</w:t>
      </w:r>
    </w:p>
    <w:p w14:paraId="29FC7625" w14:textId="73659C95" w:rsidR="00435472" w:rsidRDefault="00435472" w:rsidP="00435472">
      <w:pPr>
        <w:pStyle w:val="ListParagraph"/>
      </w:pPr>
      <w:r>
        <w:t>Overal</w:t>
      </w:r>
      <w:r w:rsidR="00486D39">
        <w:t xml:space="preserve">l, </w:t>
      </w:r>
      <w:r>
        <w:t xml:space="preserve">they are cost-effective due to fewer asthma exacerbations. NICE has done a cost-effectiveness analysis. </w:t>
      </w:r>
      <w:r w:rsidR="0050316B">
        <w:t>(2)</w:t>
      </w:r>
    </w:p>
    <w:p w14:paraId="76293D0C" w14:textId="77777777" w:rsidR="00435472" w:rsidRDefault="00435472" w:rsidP="00435472">
      <w:pPr>
        <w:pStyle w:val="ListParagraph"/>
      </w:pPr>
    </w:p>
    <w:p w14:paraId="5E091D7D" w14:textId="7D8FFD01" w:rsidR="00435472" w:rsidRPr="00486D39" w:rsidRDefault="00435472" w:rsidP="00435472">
      <w:pPr>
        <w:pStyle w:val="ListParagraph"/>
        <w:numPr>
          <w:ilvl w:val="0"/>
          <w:numId w:val="2"/>
        </w:numPr>
        <w:rPr>
          <w:b/>
          <w:bCs/>
        </w:rPr>
      </w:pPr>
      <w:r w:rsidRPr="00486D39">
        <w:rPr>
          <w:b/>
          <w:bCs/>
        </w:rPr>
        <w:t>What are the risks of starting AIR if they don't have asthma?</w:t>
      </w:r>
    </w:p>
    <w:p w14:paraId="0ABCEFE8" w14:textId="3BFFE5FA" w:rsidR="00435472" w:rsidRDefault="0050316B" w:rsidP="00435472">
      <w:r>
        <w:t>This is very l</w:t>
      </w:r>
      <w:r w:rsidR="00435472">
        <w:t>ow risk. Little steroid</w:t>
      </w:r>
      <w:r>
        <w:t xml:space="preserve"> will be systemically </w:t>
      </w:r>
      <w:proofErr w:type="gramStart"/>
      <w:r>
        <w:t>absorbed</w:t>
      </w:r>
      <w:proofErr w:type="gramEnd"/>
      <w:r>
        <w:t xml:space="preserve"> and the </w:t>
      </w:r>
      <w:r w:rsidR="00D74416">
        <w:t>inhaler can</w:t>
      </w:r>
      <w:r w:rsidR="00435472">
        <w:t xml:space="preserve"> </w:t>
      </w:r>
      <w:r w:rsidR="004A50E5">
        <w:t xml:space="preserve">be </w:t>
      </w:r>
      <w:r w:rsidR="00435472">
        <w:t>stop</w:t>
      </w:r>
      <w:r w:rsidR="004A50E5">
        <w:t>ped</w:t>
      </w:r>
      <w:r w:rsidR="00435472">
        <w:t xml:space="preserve"> when</w:t>
      </w:r>
      <w:r w:rsidR="00BC30FF">
        <w:t xml:space="preserve"> it becomes </w:t>
      </w:r>
      <w:r w:rsidR="00D538A9">
        <w:t>clear that the patient does not have asthma</w:t>
      </w:r>
      <w:proofErr w:type="gramStart"/>
      <w:r w:rsidR="00D538A9">
        <w:t>.</w:t>
      </w:r>
      <w:r w:rsidR="00387EE8">
        <w:t xml:space="preserve"> </w:t>
      </w:r>
      <w:r w:rsidR="00435472">
        <w:t>.</w:t>
      </w:r>
      <w:proofErr w:type="gramEnd"/>
      <w:r w:rsidR="00435472">
        <w:t xml:space="preserve"> </w:t>
      </w:r>
      <w:r>
        <w:t>It is f</w:t>
      </w:r>
      <w:r w:rsidR="00435472">
        <w:t xml:space="preserve">ar </w:t>
      </w:r>
      <w:r w:rsidR="00D74416">
        <w:t>riskier</w:t>
      </w:r>
      <w:r w:rsidR="00435472">
        <w:t xml:space="preserve"> to give SABA whilst </w:t>
      </w:r>
      <w:r w:rsidR="00BC30FF">
        <w:t xml:space="preserve">patient is being suspected of asthma </w:t>
      </w:r>
      <w:r w:rsidR="00435472">
        <w:t>diagnosis</w:t>
      </w:r>
      <w:r>
        <w:t xml:space="preserve"> as if the patient does have asthma, they are effectively not on treatment, increasing their risk of an asthma attack. Giving a SABA </w:t>
      </w:r>
      <w:r w:rsidR="00D74416">
        <w:t>alone, whilst</w:t>
      </w:r>
      <w:r>
        <w:t xml:space="preserve"> undertaking diagnosis can also give patients the impression that this is the main treatment for asthma. The new </w:t>
      </w:r>
      <w:hyperlink r:id="rId8" w:history="1">
        <w:r w:rsidRPr="00D74416">
          <w:rPr>
            <w:rStyle w:val="Hyperlink"/>
          </w:rPr>
          <w:t>NICE</w:t>
        </w:r>
        <w:r w:rsidR="00D74416" w:rsidRPr="00D74416">
          <w:rPr>
            <w:rStyle w:val="Hyperlink"/>
          </w:rPr>
          <w:t xml:space="preserve"> asthma</w:t>
        </w:r>
        <w:r w:rsidRPr="00D74416">
          <w:rPr>
            <w:rStyle w:val="Hyperlink"/>
          </w:rPr>
          <w:t xml:space="preserve"> guidance</w:t>
        </w:r>
      </w:hyperlink>
      <w:r>
        <w:t xml:space="preserve"> is clear, that no one with asthma should ever be on SABA alone. </w:t>
      </w:r>
    </w:p>
    <w:p w14:paraId="31F6385A" w14:textId="77777777" w:rsidR="00D74416" w:rsidRDefault="00D74416" w:rsidP="00A46A1E">
      <w:pPr>
        <w:rPr>
          <w:b/>
          <w:bCs/>
        </w:rPr>
      </w:pPr>
    </w:p>
    <w:p w14:paraId="7D893E86" w14:textId="77777777" w:rsidR="00CC7801" w:rsidRDefault="00CC7801" w:rsidP="00486D39">
      <w:pPr>
        <w:jc w:val="center"/>
        <w:rPr>
          <w:b/>
          <w:bCs/>
        </w:rPr>
      </w:pPr>
    </w:p>
    <w:p w14:paraId="58D7E5FE" w14:textId="113B3329" w:rsidR="00435472" w:rsidRPr="00CE31BF" w:rsidRDefault="00037D34" w:rsidP="00A46A1E">
      <w:pPr>
        <w:jc w:val="center"/>
        <w:rPr>
          <w:u w:val="single"/>
        </w:rPr>
      </w:pPr>
      <w:r w:rsidRPr="00CE31BF">
        <w:rPr>
          <w:b/>
          <w:bCs/>
          <w:u w:val="single"/>
        </w:rPr>
        <w:t xml:space="preserve">Questions on </w:t>
      </w:r>
      <w:r w:rsidR="0050316B" w:rsidRPr="00CE31BF">
        <w:rPr>
          <w:b/>
          <w:bCs/>
          <w:u w:val="single"/>
        </w:rPr>
        <w:t>Dry Powder Inhalers</w:t>
      </w:r>
    </w:p>
    <w:p w14:paraId="0BC8FA3F" w14:textId="4522989A" w:rsidR="00435472" w:rsidRPr="00D74416" w:rsidRDefault="00435472" w:rsidP="001A6F08">
      <w:pPr>
        <w:pStyle w:val="ListParagraph"/>
        <w:numPr>
          <w:ilvl w:val="0"/>
          <w:numId w:val="3"/>
        </w:numPr>
        <w:rPr>
          <w:b/>
          <w:bCs/>
        </w:rPr>
      </w:pPr>
      <w:r w:rsidRPr="00D74416">
        <w:rPr>
          <w:b/>
          <w:bCs/>
        </w:rPr>
        <w:t>Are</w:t>
      </w:r>
      <w:r w:rsidR="00486D39" w:rsidRPr="00D74416">
        <w:rPr>
          <w:b/>
          <w:bCs/>
        </w:rPr>
        <w:t xml:space="preserve"> DPIs </w:t>
      </w:r>
      <w:r w:rsidRPr="00D74416">
        <w:rPr>
          <w:b/>
          <w:bCs/>
        </w:rPr>
        <w:t>as effective</w:t>
      </w:r>
      <w:r w:rsidR="0050316B" w:rsidRPr="00D74416">
        <w:rPr>
          <w:b/>
          <w:bCs/>
        </w:rPr>
        <w:t xml:space="preserve"> as pressurised metered dose inhalers. </w:t>
      </w:r>
    </w:p>
    <w:p w14:paraId="091618A9" w14:textId="139D9AE6" w:rsidR="00435472" w:rsidRDefault="00435472" w:rsidP="00435472">
      <w:r>
        <w:t xml:space="preserve">In </w:t>
      </w:r>
      <w:r w:rsidR="004E640E">
        <w:t xml:space="preserve">many </w:t>
      </w:r>
      <w:r>
        <w:t>RCTs</w:t>
      </w:r>
      <w:r w:rsidR="001D3C9A">
        <w:t>,</w:t>
      </w:r>
      <w:r w:rsidR="00486D39">
        <w:t xml:space="preserve"> DPIs are</w:t>
      </w:r>
      <w:r>
        <w:t xml:space="preserve"> just as effectiv</w:t>
      </w:r>
      <w:r w:rsidR="008F544A">
        <w:t>e</w:t>
      </w:r>
      <w:r w:rsidR="00415B0C">
        <w:t>.</w:t>
      </w:r>
      <w:r w:rsidR="008F544A">
        <w:t xml:space="preserve"> </w:t>
      </w:r>
      <w:r>
        <w:t>In</w:t>
      </w:r>
      <w:r w:rsidR="00CD321E">
        <w:t xml:space="preserve"> many </w:t>
      </w:r>
      <w:r>
        <w:t>real world studies</w:t>
      </w:r>
      <w:r w:rsidR="00CD321E">
        <w:t>,</w:t>
      </w:r>
      <w:r>
        <w:t xml:space="preserve"> more effective</w:t>
      </w:r>
      <w:r w:rsidR="00486D39">
        <w:t xml:space="preserve"> (3,4,5,6)</w:t>
      </w:r>
    </w:p>
    <w:p w14:paraId="36E68BF0" w14:textId="76523F75" w:rsidR="001D3C9A" w:rsidRDefault="001D3C9A" w:rsidP="00435472">
      <w:r>
        <w:t>From a patient perspective, an individual assessment needs to be made</w:t>
      </w:r>
      <w:r w:rsidR="00544D35">
        <w:t xml:space="preserve"> regarding inhaler device choice. </w:t>
      </w:r>
      <w:r>
        <w:t xml:space="preserve"> Most patients with asthma will </w:t>
      </w:r>
      <w:r w:rsidR="008F544A">
        <w:t>be able to use a DPI effectively, and ma</w:t>
      </w:r>
      <w:r w:rsidR="000A5FCB">
        <w:t>n</w:t>
      </w:r>
      <w:r w:rsidR="008F544A">
        <w:t xml:space="preserve">y find it easier to use than a </w:t>
      </w:r>
      <w:proofErr w:type="spellStart"/>
      <w:r w:rsidR="008F544A">
        <w:t>pMDI</w:t>
      </w:r>
      <w:proofErr w:type="spellEnd"/>
      <w:r w:rsidR="008F544A">
        <w:t xml:space="preserve">. </w:t>
      </w:r>
      <w:r w:rsidR="00415B0C">
        <w:t xml:space="preserve">Caution </w:t>
      </w:r>
      <w:r w:rsidR="000A5FCB">
        <w:t xml:space="preserve">is needed </w:t>
      </w:r>
      <w:r w:rsidR="00415B0C">
        <w:t xml:space="preserve">with young children and those with severe asthma. </w:t>
      </w:r>
    </w:p>
    <w:p w14:paraId="421E3814" w14:textId="27FC6283" w:rsidR="00486D39" w:rsidRPr="00D74416" w:rsidRDefault="008E79E9" w:rsidP="00486D39">
      <w:pPr>
        <w:pStyle w:val="ListParagraph"/>
        <w:numPr>
          <w:ilvl w:val="0"/>
          <w:numId w:val="3"/>
        </w:numPr>
        <w:rPr>
          <w:b/>
          <w:bCs/>
        </w:rPr>
      </w:pPr>
      <w:r w:rsidRPr="00D74416">
        <w:rPr>
          <w:b/>
          <w:bCs/>
        </w:rPr>
        <w:t xml:space="preserve">Can patients safely use a DPI during an exacerbation? </w:t>
      </w:r>
    </w:p>
    <w:p w14:paraId="76754E27" w14:textId="4B481B47" w:rsidR="008E79E9" w:rsidRDefault="008E79E9" w:rsidP="00037D34">
      <w:r w:rsidRPr="00A46A1E">
        <w:rPr>
          <w:rFonts w:ascii="Aptos" w:hAnsi="Aptos"/>
        </w:rPr>
        <w:t>Yes, patients who are assessed to be able to use a DPI effectively, will be able to use if during an exacerbation. (7)</w:t>
      </w:r>
    </w:p>
    <w:p w14:paraId="59550D11" w14:textId="6DEBDB78" w:rsidR="00435472" w:rsidRPr="00D74416" w:rsidRDefault="00435472" w:rsidP="001A6F08">
      <w:pPr>
        <w:pStyle w:val="ListParagraph"/>
        <w:numPr>
          <w:ilvl w:val="0"/>
          <w:numId w:val="3"/>
        </w:numPr>
        <w:rPr>
          <w:b/>
          <w:bCs/>
        </w:rPr>
      </w:pPr>
      <w:r w:rsidRPr="00D74416">
        <w:rPr>
          <w:b/>
          <w:bCs/>
        </w:rPr>
        <w:t>What</w:t>
      </w:r>
      <w:r w:rsidR="00486D39" w:rsidRPr="00D74416">
        <w:rPr>
          <w:b/>
          <w:bCs/>
        </w:rPr>
        <w:t xml:space="preserve"> type of inhaler</w:t>
      </w:r>
      <w:r w:rsidRPr="00D74416">
        <w:rPr>
          <w:b/>
          <w:bCs/>
        </w:rPr>
        <w:t xml:space="preserve"> </w:t>
      </w:r>
      <w:proofErr w:type="gramStart"/>
      <w:r w:rsidRPr="00D74416">
        <w:rPr>
          <w:b/>
          <w:bCs/>
        </w:rPr>
        <w:t>do</w:t>
      </w:r>
      <w:proofErr w:type="gramEnd"/>
      <w:r w:rsidRPr="00D74416">
        <w:rPr>
          <w:b/>
          <w:bCs/>
        </w:rPr>
        <w:t xml:space="preserve"> patients prefer?</w:t>
      </w:r>
    </w:p>
    <w:p w14:paraId="1013EF5A" w14:textId="63268494" w:rsidR="00435472" w:rsidRDefault="00435472" w:rsidP="00435472">
      <w:r>
        <w:t xml:space="preserve">DPIs are popular with patients. </w:t>
      </w:r>
      <w:r w:rsidR="00486D39">
        <w:t>In one study, whe</w:t>
      </w:r>
      <w:r w:rsidR="008E79E9">
        <w:t>re</w:t>
      </w:r>
      <w:r w:rsidR="00486D39">
        <w:t xml:space="preserve"> patients were </w:t>
      </w:r>
      <w:r>
        <w:t xml:space="preserve">given a free choice, 86% did not choose a </w:t>
      </w:r>
      <w:proofErr w:type="spellStart"/>
      <w:proofErr w:type="gramStart"/>
      <w:r>
        <w:t>pMDI</w:t>
      </w:r>
      <w:proofErr w:type="spellEnd"/>
      <w:r>
        <w:t>.</w:t>
      </w:r>
      <w:r w:rsidR="00486D39">
        <w:t>(</w:t>
      </w:r>
      <w:proofErr w:type="gramEnd"/>
      <w:r w:rsidR="008E79E9">
        <w:t>8</w:t>
      </w:r>
      <w:r w:rsidR="00486D39">
        <w:t>)</w:t>
      </w:r>
    </w:p>
    <w:p w14:paraId="62C77429" w14:textId="77777777" w:rsidR="00435472" w:rsidRDefault="00435472" w:rsidP="00435472"/>
    <w:p w14:paraId="7971F118" w14:textId="77777777" w:rsidR="00534DAC" w:rsidRDefault="00534DAC" w:rsidP="00534DAC">
      <w:pPr>
        <w:pStyle w:val="ListParagraph"/>
      </w:pPr>
    </w:p>
    <w:p w14:paraId="2DC4FEDB" w14:textId="473CCAFE" w:rsidR="00534DAC" w:rsidRPr="00D74416" w:rsidRDefault="0050316B" w:rsidP="00486D39">
      <w:pPr>
        <w:pStyle w:val="ListParagraph"/>
        <w:numPr>
          <w:ilvl w:val="0"/>
          <w:numId w:val="4"/>
        </w:numPr>
        <w:rPr>
          <w:rFonts w:ascii="Calibri" w:hAnsi="Calibri" w:cs="Calibri"/>
          <w:sz w:val="18"/>
          <w:szCs w:val="18"/>
        </w:rPr>
      </w:pPr>
      <w:r w:rsidRPr="00D74416">
        <w:rPr>
          <w:rStyle w:val="cf01"/>
          <w:rFonts w:ascii="Calibri" w:hAnsi="Calibri" w:cs="Calibri"/>
        </w:rPr>
        <w:t xml:space="preserve">O'Byrne PM, FitzGerald JM, Bateman ED, Barnes PJ, Zhong N, Keen C, </w:t>
      </w:r>
      <w:proofErr w:type="spellStart"/>
      <w:r w:rsidRPr="00D74416">
        <w:rPr>
          <w:rStyle w:val="cf01"/>
          <w:rFonts w:ascii="Calibri" w:hAnsi="Calibri" w:cs="Calibri"/>
        </w:rPr>
        <w:t>Jorup</w:t>
      </w:r>
      <w:proofErr w:type="spellEnd"/>
      <w:r w:rsidRPr="00D74416">
        <w:rPr>
          <w:rStyle w:val="cf01"/>
          <w:rFonts w:ascii="Calibri" w:hAnsi="Calibri" w:cs="Calibri"/>
        </w:rPr>
        <w:t xml:space="preserve"> C, Lamarca R, Ivanov S, Reddel HK. Inhaled Combined Budesonide-Formoterol as Needed in Mild Asthma. N Engl J Med. 2018 May 17;378(20):1865-1876. </w:t>
      </w:r>
      <w:proofErr w:type="spellStart"/>
      <w:r w:rsidRPr="00D74416">
        <w:rPr>
          <w:rStyle w:val="cf01"/>
          <w:rFonts w:ascii="Calibri" w:hAnsi="Calibri" w:cs="Calibri"/>
        </w:rPr>
        <w:t>doi</w:t>
      </w:r>
      <w:proofErr w:type="spellEnd"/>
      <w:r w:rsidRPr="00D74416">
        <w:rPr>
          <w:rStyle w:val="cf01"/>
          <w:rFonts w:ascii="Calibri" w:hAnsi="Calibri" w:cs="Calibri"/>
        </w:rPr>
        <w:t>: 10.1056/NEJMoa1715274.</w:t>
      </w:r>
    </w:p>
    <w:p w14:paraId="0538D84A" w14:textId="77777777" w:rsidR="00534DAC" w:rsidRPr="00D74416" w:rsidRDefault="00534DAC" w:rsidP="00534DAC">
      <w:pPr>
        <w:pStyle w:val="ListParagraph"/>
        <w:rPr>
          <w:rFonts w:ascii="Calibri" w:hAnsi="Calibri" w:cs="Calibri"/>
          <w:sz w:val="18"/>
          <w:szCs w:val="18"/>
        </w:rPr>
      </w:pPr>
    </w:p>
    <w:p w14:paraId="4DAFE082" w14:textId="2537E9C7" w:rsidR="0050316B" w:rsidRPr="00D74416" w:rsidRDefault="00486D39" w:rsidP="0050316B">
      <w:pPr>
        <w:pStyle w:val="ListParagraph"/>
        <w:numPr>
          <w:ilvl w:val="0"/>
          <w:numId w:val="4"/>
        </w:numPr>
        <w:rPr>
          <w:rFonts w:ascii="Calibri" w:hAnsi="Calibri" w:cs="Calibri"/>
          <w:sz w:val="18"/>
          <w:szCs w:val="18"/>
        </w:rPr>
      </w:pPr>
      <w:hyperlink r:id="rId9" w:history="1">
        <w:r w:rsidRPr="00D74416">
          <w:rPr>
            <w:rStyle w:val="Hyperlink"/>
            <w:rFonts w:ascii="Calibri" w:hAnsi="Calibri" w:cs="Calibri"/>
            <w:sz w:val="18"/>
            <w:szCs w:val="18"/>
          </w:rPr>
          <w:t>https://www.nice.org.uk/guidance/ng245/chapter/Rationale-and-impact</w:t>
        </w:r>
      </w:hyperlink>
    </w:p>
    <w:p w14:paraId="7F0D8F95" w14:textId="77777777" w:rsidR="00486D39" w:rsidRPr="00D74416" w:rsidRDefault="00486D39" w:rsidP="00486D39">
      <w:pPr>
        <w:pStyle w:val="ListParagraph"/>
        <w:rPr>
          <w:rFonts w:ascii="Calibri" w:hAnsi="Calibri" w:cs="Calibri"/>
          <w:sz w:val="18"/>
          <w:szCs w:val="18"/>
        </w:rPr>
      </w:pPr>
    </w:p>
    <w:p w14:paraId="56EDE240" w14:textId="1E7FDAE5" w:rsidR="00486D39" w:rsidRPr="00D74416" w:rsidRDefault="00486D39" w:rsidP="0050316B">
      <w:pPr>
        <w:pStyle w:val="ListParagraph"/>
        <w:numPr>
          <w:ilvl w:val="0"/>
          <w:numId w:val="4"/>
        </w:numPr>
        <w:rPr>
          <w:rFonts w:ascii="Calibri" w:hAnsi="Calibri" w:cs="Calibri"/>
          <w:sz w:val="18"/>
          <w:szCs w:val="18"/>
        </w:rPr>
      </w:pPr>
      <w:r w:rsidRPr="00D74416">
        <w:rPr>
          <w:rFonts w:ascii="Calibri" w:hAnsi="Calibri" w:cs="Calibri"/>
          <w:sz w:val="18"/>
          <w:szCs w:val="18"/>
        </w:rPr>
        <w:t xml:space="preserve">Switching patients from other inhaled corticosteroid devices to the </w:t>
      </w:r>
      <w:proofErr w:type="spellStart"/>
      <w:r w:rsidRPr="00D74416">
        <w:rPr>
          <w:rFonts w:ascii="Calibri" w:hAnsi="Calibri" w:cs="Calibri"/>
          <w:sz w:val="18"/>
          <w:szCs w:val="18"/>
        </w:rPr>
        <w:t>Easyhaler</w:t>
      </w:r>
      <w:proofErr w:type="spellEnd"/>
      <w:r w:rsidRPr="00D74416">
        <w:rPr>
          <w:rFonts w:ascii="Calibri" w:hAnsi="Calibri" w:cs="Calibri"/>
          <w:sz w:val="18"/>
          <w:szCs w:val="18"/>
        </w:rPr>
        <w:t xml:space="preserve">®: Historical, matched-cohort study of real-life asthma patients. </w:t>
      </w:r>
      <w:r w:rsidRPr="00D74416">
        <w:rPr>
          <w:rFonts w:ascii="Calibri" w:hAnsi="Calibri" w:cs="Calibri"/>
          <w:i/>
          <w:iCs/>
          <w:sz w:val="18"/>
          <w:szCs w:val="18"/>
        </w:rPr>
        <w:t>J Asthma Allergy</w:t>
      </w:r>
      <w:r w:rsidRPr="00D74416">
        <w:rPr>
          <w:rFonts w:ascii="Calibri" w:hAnsi="Calibri" w:cs="Calibri"/>
          <w:sz w:val="18"/>
          <w:szCs w:val="18"/>
        </w:rPr>
        <w:t xml:space="preserve"> 2014, 7: 31-51.</w:t>
      </w:r>
    </w:p>
    <w:p w14:paraId="1306B022" w14:textId="77777777" w:rsidR="00486D39" w:rsidRPr="00D74416" w:rsidRDefault="00486D39" w:rsidP="00486D39">
      <w:pPr>
        <w:pStyle w:val="ListParagraph"/>
        <w:rPr>
          <w:rFonts w:ascii="Calibri" w:hAnsi="Calibri" w:cs="Calibri"/>
          <w:sz w:val="18"/>
          <w:szCs w:val="18"/>
        </w:rPr>
      </w:pPr>
    </w:p>
    <w:p w14:paraId="1DFD21CE" w14:textId="199C5B37" w:rsidR="00486D39" w:rsidRPr="00D74416" w:rsidRDefault="00486D39" w:rsidP="0050316B">
      <w:pPr>
        <w:pStyle w:val="ListParagraph"/>
        <w:numPr>
          <w:ilvl w:val="0"/>
          <w:numId w:val="4"/>
        </w:numPr>
        <w:rPr>
          <w:rFonts w:ascii="Calibri" w:hAnsi="Calibri" w:cs="Calibri"/>
          <w:sz w:val="18"/>
          <w:szCs w:val="18"/>
        </w:rPr>
      </w:pPr>
      <w:r w:rsidRPr="00D74416">
        <w:rPr>
          <w:rFonts w:ascii="Calibri" w:hAnsi="Calibri" w:cs="Calibri"/>
          <w:sz w:val="18"/>
          <w:szCs w:val="18"/>
        </w:rPr>
        <w:t>Effectiveness of fluticasone furoate plus vilanterol on asthma control in clinical practice: An open-label, parallel group, randomised controlled trial. Lancet 2017, 390: 2247-55.</w:t>
      </w:r>
    </w:p>
    <w:p w14:paraId="58AF96D1" w14:textId="77777777" w:rsidR="00486D39" w:rsidRPr="00D74416" w:rsidRDefault="00486D39" w:rsidP="00486D39">
      <w:pPr>
        <w:pStyle w:val="ListParagraph"/>
        <w:rPr>
          <w:rFonts w:ascii="Calibri" w:hAnsi="Calibri" w:cs="Calibri"/>
          <w:sz w:val="18"/>
          <w:szCs w:val="18"/>
        </w:rPr>
      </w:pPr>
    </w:p>
    <w:p w14:paraId="2AA3603C" w14:textId="0DCAFAEE" w:rsidR="00486D39" w:rsidRPr="00D74416" w:rsidRDefault="00486D39" w:rsidP="0050316B">
      <w:pPr>
        <w:pStyle w:val="ListParagraph"/>
        <w:numPr>
          <w:ilvl w:val="0"/>
          <w:numId w:val="4"/>
        </w:numPr>
        <w:rPr>
          <w:rFonts w:ascii="Calibri" w:hAnsi="Calibri" w:cs="Calibri"/>
          <w:sz w:val="18"/>
          <w:szCs w:val="18"/>
        </w:rPr>
      </w:pPr>
      <w:r w:rsidRPr="00D74416">
        <w:rPr>
          <w:rFonts w:ascii="Calibri" w:hAnsi="Calibri" w:cs="Calibri"/>
          <w:sz w:val="18"/>
          <w:szCs w:val="18"/>
        </w:rPr>
        <w:t>Effectiveness of inhaler types for real-world asthma management: retrospective observational study using the GPRD Journal of Asthma and Allergy 2011:4 37–47</w:t>
      </w:r>
    </w:p>
    <w:p w14:paraId="33C19624" w14:textId="77777777" w:rsidR="00486D39" w:rsidRPr="00D74416" w:rsidRDefault="00486D39" w:rsidP="00486D39">
      <w:pPr>
        <w:pStyle w:val="ListParagraph"/>
        <w:rPr>
          <w:rFonts w:ascii="Calibri" w:hAnsi="Calibri" w:cs="Calibri"/>
          <w:sz w:val="18"/>
          <w:szCs w:val="18"/>
        </w:rPr>
      </w:pPr>
    </w:p>
    <w:p w14:paraId="317A1698" w14:textId="5FF4317F" w:rsidR="00486D39" w:rsidRDefault="00486D39" w:rsidP="0050316B">
      <w:pPr>
        <w:pStyle w:val="ListParagraph"/>
        <w:numPr>
          <w:ilvl w:val="0"/>
          <w:numId w:val="4"/>
        </w:numPr>
        <w:rPr>
          <w:rFonts w:ascii="Calibri" w:hAnsi="Calibri" w:cs="Calibri"/>
          <w:sz w:val="18"/>
          <w:szCs w:val="18"/>
        </w:rPr>
      </w:pPr>
      <w:r w:rsidRPr="00D74416">
        <w:rPr>
          <w:rFonts w:ascii="Calibri" w:hAnsi="Calibri" w:cs="Calibri"/>
          <w:sz w:val="18"/>
          <w:szCs w:val="18"/>
        </w:rPr>
        <w:t xml:space="preserve">Beasley R, Holliday M, Reddel HK, et al. Controlled Trial of Budesonide–Formoterol as Needed for Mild Asthma. </w:t>
      </w:r>
      <w:r w:rsidRPr="00D74416">
        <w:rPr>
          <w:rFonts w:ascii="Calibri" w:hAnsi="Calibri" w:cs="Calibri"/>
          <w:i/>
          <w:iCs/>
          <w:sz w:val="18"/>
          <w:szCs w:val="18"/>
        </w:rPr>
        <w:t>N Engl J Med</w:t>
      </w:r>
      <w:r w:rsidRPr="00D74416">
        <w:rPr>
          <w:rFonts w:ascii="Calibri" w:hAnsi="Calibri" w:cs="Calibri"/>
          <w:sz w:val="18"/>
          <w:szCs w:val="18"/>
        </w:rPr>
        <w:t>. 2019;380(21):2020-2030. doi:10.1056/NEJMoa1901963</w:t>
      </w:r>
    </w:p>
    <w:p w14:paraId="047E954C" w14:textId="77777777" w:rsidR="00D74416" w:rsidRPr="00D74416" w:rsidRDefault="00D74416" w:rsidP="00D74416">
      <w:pPr>
        <w:pStyle w:val="ListParagraph"/>
        <w:rPr>
          <w:rFonts w:ascii="Calibri" w:hAnsi="Calibri" w:cs="Calibri"/>
          <w:sz w:val="18"/>
          <w:szCs w:val="18"/>
        </w:rPr>
      </w:pPr>
    </w:p>
    <w:p w14:paraId="5012F3F9" w14:textId="7377A080" w:rsidR="00D74416" w:rsidRPr="00CE31BF" w:rsidRDefault="00D74416" w:rsidP="00CE31BF">
      <w:pPr>
        <w:pStyle w:val="ListParagraph"/>
        <w:numPr>
          <w:ilvl w:val="0"/>
          <w:numId w:val="4"/>
        </w:numPr>
        <w:rPr>
          <w:rFonts w:ascii="Calibri" w:hAnsi="Calibri" w:cs="Calibri"/>
          <w:sz w:val="18"/>
          <w:szCs w:val="18"/>
        </w:rPr>
      </w:pPr>
      <w:r w:rsidRPr="00D74416">
        <w:rPr>
          <w:rFonts w:ascii="Calibri" w:hAnsi="Calibri" w:cs="Calibri"/>
          <w:sz w:val="18"/>
          <w:szCs w:val="18"/>
        </w:rPr>
        <w:t>Vartiainen VA, Federico Lavorini, Anna C Murphy &amp; Klaus F Rabe (2023) High inhaler resistance does not limit successful inspiratory manoeuvre among patients with asthma or COPD, Expert Opinion on Drug Delivery, 20:3, 385-393, DOI: 10.1080/17425247.2023.2179984</w:t>
      </w:r>
    </w:p>
    <w:p w14:paraId="62E0C186" w14:textId="77777777" w:rsidR="00D74416" w:rsidRPr="00D74416" w:rsidRDefault="00D74416" w:rsidP="00D74416">
      <w:pPr>
        <w:pStyle w:val="pf0"/>
        <w:numPr>
          <w:ilvl w:val="0"/>
          <w:numId w:val="4"/>
        </w:numPr>
        <w:rPr>
          <w:rFonts w:ascii="Calibri" w:hAnsi="Calibri" w:cs="Calibri"/>
          <w:sz w:val="18"/>
          <w:szCs w:val="18"/>
        </w:rPr>
      </w:pPr>
      <w:r w:rsidRPr="00D74416">
        <w:rPr>
          <w:rStyle w:val="cf01"/>
          <w:rFonts w:ascii="Calibri" w:eastAsiaTheme="majorEastAsia" w:hAnsi="Calibri" w:cs="Calibri"/>
        </w:rPr>
        <w:t xml:space="preserve">Schreiber J, Sonnenburg T, Luecke E. Inhaler devices in asthma and COPD patients - a prospective cross-sectional study on inhaler preferences and error rates. BMC </w:t>
      </w:r>
      <w:proofErr w:type="spellStart"/>
      <w:r w:rsidRPr="00D74416">
        <w:rPr>
          <w:rStyle w:val="cf01"/>
          <w:rFonts w:ascii="Calibri" w:eastAsiaTheme="majorEastAsia" w:hAnsi="Calibri" w:cs="Calibri"/>
        </w:rPr>
        <w:t>Pulm</w:t>
      </w:r>
      <w:proofErr w:type="spellEnd"/>
      <w:r w:rsidRPr="00D74416">
        <w:rPr>
          <w:rStyle w:val="cf01"/>
          <w:rFonts w:ascii="Calibri" w:eastAsiaTheme="majorEastAsia" w:hAnsi="Calibri" w:cs="Calibri"/>
        </w:rPr>
        <w:t xml:space="preserve"> Med. 2020 Aug 20;20(1):222. </w:t>
      </w:r>
      <w:proofErr w:type="spellStart"/>
      <w:r w:rsidRPr="00D74416">
        <w:rPr>
          <w:rStyle w:val="cf01"/>
          <w:rFonts w:ascii="Calibri" w:eastAsiaTheme="majorEastAsia" w:hAnsi="Calibri" w:cs="Calibri"/>
        </w:rPr>
        <w:t>doi</w:t>
      </w:r>
      <w:proofErr w:type="spellEnd"/>
      <w:r w:rsidRPr="00D74416">
        <w:rPr>
          <w:rStyle w:val="cf01"/>
          <w:rFonts w:ascii="Calibri" w:eastAsiaTheme="majorEastAsia" w:hAnsi="Calibri" w:cs="Calibri"/>
        </w:rPr>
        <w:t>: 10.1186/s12890-020-01246-z. PMID: 32819337; PMCID: PMC7439539.</w:t>
      </w:r>
    </w:p>
    <w:p w14:paraId="0F050EBC" w14:textId="77777777" w:rsidR="00D74416" w:rsidRPr="00D74416" w:rsidRDefault="00D74416" w:rsidP="00D74416">
      <w:pPr>
        <w:pStyle w:val="ListParagraph"/>
        <w:rPr>
          <w:rFonts w:ascii="Calibri" w:hAnsi="Calibri" w:cs="Calibri"/>
          <w:sz w:val="18"/>
          <w:szCs w:val="18"/>
        </w:rPr>
      </w:pPr>
    </w:p>
    <w:p w14:paraId="38C8A56A" w14:textId="77777777" w:rsidR="00D74416" w:rsidRPr="00D74416" w:rsidRDefault="00D74416" w:rsidP="00D74416">
      <w:pPr>
        <w:rPr>
          <w:rFonts w:ascii="Calibri" w:hAnsi="Calibri" w:cs="Calibri"/>
          <w:sz w:val="18"/>
          <w:szCs w:val="18"/>
        </w:rPr>
      </w:pPr>
    </w:p>
    <w:p w14:paraId="7F5BF235" w14:textId="77777777" w:rsidR="00D74416" w:rsidRPr="00D74416" w:rsidRDefault="00D74416" w:rsidP="00D74416">
      <w:pPr>
        <w:pStyle w:val="ListParagraph"/>
        <w:rPr>
          <w:rFonts w:ascii="Calibri" w:hAnsi="Calibri" w:cs="Calibri"/>
          <w:sz w:val="18"/>
          <w:szCs w:val="18"/>
        </w:rPr>
      </w:pPr>
    </w:p>
    <w:p w14:paraId="23390A93" w14:textId="2107B206" w:rsidR="00486D39" w:rsidRDefault="00486D39" w:rsidP="00D74416">
      <w:pPr>
        <w:pStyle w:val="ListParagraph"/>
      </w:pPr>
    </w:p>
    <w:p w14:paraId="6DC02227" w14:textId="694E68A1" w:rsidR="00486D39" w:rsidRDefault="00486D39" w:rsidP="00486D39">
      <w:pPr>
        <w:pStyle w:val="ListParagraph"/>
      </w:pPr>
    </w:p>
    <w:p w14:paraId="188A1AF5" w14:textId="542C2075" w:rsidR="00534DAC" w:rsidRDefault="00534DAC" w:rsidP="00534DAC">
      <w:pPr>
        <w:pStyle w:val="ListParagraph"/>
      </w:pPr>
    </w:p>
    <w:sectPr w:rsidR="0053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F7F16"/>
    <w:multiLevelType w:val="hybridMultilevel"/>
    <w:tmpl w:val="EAC4F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03F6C"/>
    <w:multiLevelType w:val="hybridMultilevel"/>
    <w:tmpl w:val="9BB2A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A32C6"/>
    <w:multiLevelType w:val="hybridMultilevel"/>
    <w:tmpl w:val="FCB69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93C53"/>
    <w:multiLevelType w:val="hybridMultilevel"/>
    <w:tmpl w:val="8F122E60"/>
    <w:lvl w:ilvl="0" w:tplc="D422C49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D29D0"/>
    <w:multiLevelType w:val="hybridMultilevel"/>
    <w:tmpl w:val="AE220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155126">
    <w:abstractNumId w:val="3"/>
  </w:num>
  <w:num w:numId="2" w16cid:durableId="783351851">
    <w:abstractNumId w:val="0"/>
  </w:num>
  <w:num w:numId="3" w16cid:durableId="1638148600">
    <w:abstractNumId w:val="4"/>
  </w:num>
  <w:num w:numId="4" w16cid:durableId="1990403000">
    <w:abstractNumId w:val="1"/>
  </w:num>
  <w:num w:numId="5" w16cid:durableId="858661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AC"/>
    <w:rsid w:val="00037D34"/>
    <w:rsid w:val="0008719A"/>
    <w:rsid w:val="000A5FCB"/>
    <w:rsid w:val="00107269"/>
    <w:rsid w:val="001A6F08"/>
    <w:rsid w:val="001D3C9A"/>
    <w:rsid w:val="001F52EC"/>
    <w:rsid w:val="002B3B3B"/>
    <w:rsid w:val="00387EE8"/>
    <w:rsid w:val="00415B0C"/>
    <w:rsid w:val="00435472"/>
    <w:rsid w:val="00436D12"/>
    <w:rsid w:val="00486D39"/>
    <w:rsid w:val="004A0795"/>
    <w:rsid w:val="004A50E5"/>
    <w:rsid w:val="004E640E"/>
    <w:rsid w:val="0050316B"/>
    <w:rsid w:val="00534DAC"/>
    <w:rsid w:val="00544D35"/>
    <w:rsid w:val="0072525E"/>
    <w:rsid w:val="00776338"/>
    <w:rsid w:val="00856EB5"/>
    <w:rsid w:val="008E79E9"/>
    <w:rsid w:val="008F544A"/>
    <w:rsid w:val="009D146D"/>
    <w:rsid w:val="00A05202"/>
    <w:rsid w:val="00A46A1E"/>
    <w:rsid w:val="00B278B7"/>
    <w:rsid w:val="00BB29D2"/>
    <w:rsid w:val="00BC30FF"/>
    <w:rsid w:val="00C47E95"/>
    <w:rsid w:val="00CC7801"/>
    <w:rsid w:val="00CD321E"/>
    <w:rsid w:val="00CE31BF"/>
    <w:rsid w:val="00CF2329"/>
    <w:rsid w:val="00D538A9"/>
    <w:rsid w:val="00D74416"/>
    <w:rsid w:val="00F6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A963C"/>
  <w15:docId w15:val="{0AE86408-C4D5-4934-9BFB-2E3229C8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D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D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D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D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D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D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D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D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D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D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DA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D3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3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2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2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2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Revision">
    <w:name w:val="Revision"/>
    <w:hidden/>
    <w:uiPriority w:val="99"/>
    <w:semiHidden/>
    <w:rsid w:val="00BB29D2"/>
    <w:pPr>
      <w:spacing w:after="0" w:line="240" w:lineRule="auto"/>
    </w:pPr>
  </w:style>
  <w:style w:type="character" w:customStyle="1" w:styleId="cf01">
    <w:name w:val="cf01"/>
    <w:basedOn w:val="DefaultParagraphFont"/>
    <w:rsid w:val="0050316B"/>
    <w:rPr>
      <w:rFonts w:ascii="Segoe UI" w:hAnsi="Segoe UI" w:cs="Segoe UI" w:hint="default"/>
      <w:color w:val="21212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6D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D39"/>
    <w:rPr>
      <w:color w:val="605E5C"/>
      <w:shd w:val="clear" w:color="auto" w:fill="E1DFDD"/>
    </w:rPr>
  </w:style>
  <w:style w:type="paragraph" w:customStyle="1" w:styleId="pf0">
    <w:name w:val="pf0"/>
    <w:basedOn w:val="Normal"/>
    <w:rsid w:val="0048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1F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s.nice.org.uk/topics/asthm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ice.org.uk/guidance/ng245/chapter/Rationale-and-imp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A298FC4F28D419DFF80DD49C87CC9" ma:contentTypeVersion="19" ma:contentTypeDescription="Create a new document." ma:contentTypeScope="" ma:versionID="3ce47d1ded2123ce4e065a5f7a2d1b7f">
  <xsd:schema xmlns:xsd="http://www.w3.org/2001/XMLSchema" xmlns:xs="http://www.w3.org/2001/XMLSchema" xmlns:p="http://schemas.microsoft.com/office/2006/metadata/properties" xmlns:ns1="http://schemas.microsoft.com/sharepoint/v3" xmlns:ns3="c0b545c7-9282-4949-a53c-108baabfe509" xmlns:ns4="77575d23-eda8-4f13-9b9b-b81bb93f2da2" targetNamespace="http://schemas.microsoft.com/office/2006/metadata/properties" ma:root="true" ma:fieldsID="7bc6c7c8850caccaafb4015e6f54c953" ns1:_="" ns3:_="" ns4:_="">
    <xsd:import namespace="http://schemas.microsoft.com/sharepoint/v3"/>
    <xsd:import namespace="c0b545c7-9282-4949-a53c-108baabfe509"/>
    <xsd:import namespace="77575d23-eda8-4f13-9b9b-b81bb93f2d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545c7-9282-4949-a53c-108baabfe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75d23-eda8-4f13-9b9b-b81bb93f2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0b545c7-9282-4949-a53c-108baabfe509" xsi:nil="true"/>
  </documentManagement>
</p:properties>
</file>

<file path=customXml/itemProps1.xml><?xml version="1.0" encoding="utf-8"?>
<ds:datastoreItem xmlns:ds="http://schemas.openxmlformats.org/officeDocument/2006/customXml" ds:itemID="{E71F72B3-9A50-462F-982A-7998EC7CB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b545c7-9282-4949-a53c-108baabfe509"/>
    <ds:schemaRef ds:uri="77575d23-eda8-4f13-9b9b-b81bb93f2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C281-4FE1-4859-BAA0-F5B25DD75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ADCB9-A137-4827-BF0E-13F05C51FC7E}">
  <ds:schemaRefs>
    <ds:schemaRef ds:uri="http://schemas.microsoft.com/office/2006/metadata/properties"/>
    <ds:schemaRef ds:uri="77575d23-eda8-4f13-9b9b-b81bb93f2da2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c0b545c7-9282-4949-a53c-108baabfe509"/>
    <ds:schemaRef ds:uri="http://purl.org/dc/dcmitype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&amp; North Hertfordshire NHS Trust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BANSAL, Aarti (NHS HUMBER AND NORTH YORKSHIRE ICB - 03F)</dc:creator>
  <cp:lastModifiedBy>BANSAL, Aarti (NHS HUMBER AND NORTH YORKSHIRE ICB - 03F)</cp:lastModifiedBy>
  <cp:revision>2</cp:revision>
  <dcterms:created xsi:type="dcterms:W3CDTF">2025-09-17T11:39:00Z</dcterms:created>
  <dcterms:modified xsi:type="dcterms:W3CDTF">2025-09-17T11:39:00Z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0x010100F8EA298FC4F28D419DFF80DD49C87CC9</vt:lpwstr>
  </property>
</Properties>
</file>