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FCE103" w14:textId="013DA668" w:rsidR="00667049" w:rsidRPr="00941A16" w:rsidRDefault="00396425" w:rsidP="00667049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Standard </w:t>
      </w:r>
      <w:r w:rsidR="00D66E34">
        <w:rPr>
          <w:b/>
          <w:sz w:val="28"/>
          <w:szCs w:val="28"/>
          <w:u w:val="single"/>
        </w:rPr>
        <w:t>Work</w:t>
      </w:r>
      <w:r w:rsidR="00667049" w:rsidRPr="00941A16">
        <w:rPr>
          <w:b/>
          <w:sz w:val="28"/>
          <w:szCs w:val="28"/>
          <w:u w:val="single"/>
        </w:rPr>
        <w:t xml:space="preserve"> </w:t>
      </w:r>
      <w:r w:rsidR="0061104A">
        <w:rPr>
          <w:b/>
          <w:sz w:val="28"/>
          <w:szCs w:val="28"/>
          <w:u w:val="single"/>
        </w:rPr>
        <w:t>:Using</w:t>
      </w:r>
      <w:r w:rsidR="00CF6990">
        <w:rPr>
          <w:b/>
          <w:sz w:val="28"/>
          <w:szCs w:val="28"/>
          <w:u w:val="single"/>
        </w:rPr>
        <w:t xml:space="preserve"> a Reusable Tourniquet </w:t>
      </w:r>
    </w:p>
    <w:p w14:paraId="775111F1" w14:textId="77777777" w:rsidR="000A10EB" w:rsidRDefault="000A10EB" w:rsidP="00667049"/>
    <w:p w14:paraId="7C2A534B" w14:textId="77777777" w:rsidR="000A10EB" w:rsidRDefault="000A10EB" w:rsidP="00667049"/>
    <w:p w14:paraId="7ECA511D" w14:textId="2E6EA314" w:rsidR="000A10EB" w:rsidRPr="00941A16" w:rsidRDefault="00667049" w:rsidP="00667049">
      <w:pPr>
        <w:rPr>
          <w:i/>
          <w:color w:val="A6A6A6" w:themeColor="background1" w:themeShade="A6"/>
        </w:rPr>
      </w:pPr>
      <w:r>
        <w:t>Process</w:t>
      </w:r>
      <w:r w:rsidR="000A10EB">
        <w:t>/Cycle</w:t>
      </w:r>
      <w:r>
        <w:t>:</w:t>
      </w:r>
      <w:r w:rsidR="00314946">
        <w:t xml:space="preserve"> </w:t>
      </w:r>
      <w:r w:rsidR="00CF6990">
        <w:t>Safe and appropriate use of a reusable tourniquet</w:t>
      </w:r>
    </w:p>
    <w:p w14:paraId="3296C2E4" w14:textId="77777777" w:rsidR="000A10EB" w:rsidRDefault="000A10EB" w:rsidP="00667049">
      <w:pPr>
        <w:rPr>
          <w:i/>
        </w:rPr>
      </w:pPr>
    </w:p>
    <w:p w14:paraId="5CBF7A52" w14:textId="3E8D5B65" w:rsidR="00667049" w:rsidRPr="00941A16" w:rsidRDefault="000A10EB" w:rsidP="00667049">
      <w:pPr>
        <w:rPr>
          <w:i/>
          <w:color w:val="A6A6A6" w:themeColor="background1" w:themeShade="A6"/>
        </w:rPr>
      </w:pPr>
      <w:r>
        <w:t xml:space="preserve">Roles/Positions: </w:t>
      </w:r>
      <w:r w:rsidR="00CF6990" w:rsidRPr="00CF6990">
        <w:rPr>
          <w:iCs/>
          <w:color w:val="808080" w:themeColor="background1" w:themeShade="80"/>
        </w:rPr>
        <w:t>For all staff who take blood and or cannulate</w:t>
      </w:r>
      <w:r w:rsidR="00CF6990">
        <w:rPr>
          <w:i/>
          <w:color w:val="808080" w:themeColor="background1" w:themeShade="80"/>
        </w:rPr>
        <w:t xml:space="preserve"> </w:t>
      </w:r>
    </w:p>
    <w:p w14:paraId="38C47F4B" w14:textId="77777777" w:rsidR="000A10EB" w:rsidRDefault="000A10EB" w:rsidP="00667049">
      <w:pPr>
        <w:rPr>
          <w:i/>
        </w:rPr>
      </w:pPr>
    </w:p>
    <w:p w14:paraId="1710B9E8" w14:textId="3F13153C" w:rsidR="00E2714B" w:rsidRPr="00CF6990" w:rsidRDefault="00E2714B" w:rsidP="00CF6990">
      <w:r>
        <w:t>Equipment/Supplies/Systems Required</w:t>
      </w:r>
      <w:r w:rsidR="00CF6990">
        <w:t>: See Guideline and Competency Package for the Insertion, Management and Removal of a Peripheral Venous Cannula</w:t>
      </w:r>
    </w:p>
    <w:p w14:paraId="55BEFCDA" w14:textId="77777777" w:rsidR="00CB78AF" w:rsidRDefault="00CB78AF" w:rsidP="00667049">
      <w:pPr>
        <w:rPr>
          <w:i/>
          <w:color w:val="808080" w:themeColor="background1" w:themeShade="80"/>
        </w:rPr>
      </w:pPr>
    </w:p>
    <w:p w14:paraId="549C3F1A" w14:textId="3EDD1B31" w:rsidR="00314946" w:rsidRDefault="00CB78AF" w:rsidP="00CB78AF">
      <w:pPr>
        <w:rPr>
          <w:i/>
          <w:color w:val="808080" w:themeColor="background1" w:themeShade="80"/>
        </w:rPr>
      </w:pPr>
      <w:r>
        <w:t xml:space="preserve">Safety and Quality checks: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24"/>
        <w:gridCol w:w="5424"/>
      </w:tblGrid>
      <w:tr w:rsidR="00CB78AF" w14:paraId="5C76D0C7" w14:textId="77777777" w:rsidTr="00CB78AF">
        <w:tc>
          <w:tcPr>
            <w:tcW w:w="5424" w:type="dxa"/>
          </w:tcPr>
          <w:p w14:paraId="76DE7949" w14:textId="5AD8EAE5" w:rsidR="00CB78AF" w:rsidRPr="00CB78AF" w:rsidRDefault="00CB78AF" w:rsidP="00CB78AF">
            <w:pPr>
              <w:jc w:val="center"/>
              <w:rPr>
                <w:b/>
                <w:bCs/>
                <w:iCs/>
              </w:rPr>
            </w:pPr>
            <w:r w:rsidRPr="00CB78AF">
              <w:rPr>
                <w:b/>
                <w:bCs/>
                <w:iCs/>
              </w:rPr>
              <w:t>Safety Check</w:t>
            </w:r>
          </w:p>
        </w:tc>
        <w:tc>
          <w:tcPr>
            <w:tcW w:w="5424" w:type="dxa"/>
          </w:tcPr>
          <w:p w14:paraId="4FDFEC3D" w14:textId="0FBA56B9" w:rsidR="00CB78AF" w:rsidRPr="00CB78AF" w:rsidRDefault="00CB78AF" w:rsidP="00CB78AF">
            <w:pPr>
              <w:jc w:val="center"/>
              <w:rPr>
                <w:b/>
                <w:bCs/>
                <w:iCs/>
              </w:rPr>
            </w:pPr>
            <w:r w:rsidRPr="00CB78AF">
              <w:rPr>
                <w:b/>
                <w:bCs/>
                <w:iCs/>
              </w:rPr>
              <w:t>Quality Check</w:t>
            </w:r>
          </w:p>
        </w:tc>
      </w:tr>
      <w:tr w:rsidR="00CB78AF" w14:paraId="1E6E1B3E" w14:textId="77777777" w:rsidTr="00CB78AF">
        <w:tc>
          <w:tcPr>
            <w:tcW w:w="5424" w:type="dxa"/>
          </w:tcPr>
          <w:p w14:paraId="7826207E" w14:textId="0A2F213D" w:rsidR="00CB78AF" w:rsidRDefault="00CB78AF" w:rsidP="00CB78AF">
            <w:pPr>
              <w:rPr>
                <w:i/>
                <w:color w:val="808080" w:themeColor="background1" w:themeShade="8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4407AAAF" wp14:editId="53E7A49C">
                  <wp:simplePos x="0" y="0"/>
                  <wp:positionH relativeFrom="column">
                    <wp:posOffset>1402080</wp:posOffset>
                  </wp:positionH>
                  <wp:positionV relativeFrom="paragraph">
                    <wp:posOffset>25400</wp:posOffset>
                  </wp:positionV>
                  <wp:extent cx="447675" cy="438150"/>
                  <wp:effectExtent l="0" t="0" r="9525" b="0"/>
                  <wp:wrapNone/>
                  <wp:docPr id="8456170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5617022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DC499AC" w14:textId="3AFE24B3" w:rsidR="00CB78AF" w:rsidRDefault="00CB78AF" w:rsidP="00CB78AF">
            <w:pPr>
              <w:rPr>
                <w:i/>
                <w:color w:val="808080" w:themeColor="background1" w:themeShade="80"/>
              </w:rPr>
            </w:pPr>
          </w:p>
          <w:p w14:paraId="55343C5B" w14:textId="74BCCDC6" w:rsidR="00CB78AF" w:rsidRDefault="00CB78AF" w:rsidP="00CB78AF">
            <w:pPr>
              <w:rPr>
                <w:i/>
                <w:color w:val="808080" w:themeColor="background1" w:themeShade="80"/>
              </w:rPr>
            </w:pPr>
          </w:p>
        </w:tc>
        <w:tc>
          <w:tcPr>
            <w:tcW w:w="5424" w:type="dxa"/>
          </w:tcPr>
          <w:p w14:paraId="4FFC55A3" w14:textId="73BCB50C" w:rsidR="00CB78AF" w:rsidRDefault="00CB78AF" w:rsidP="00CB78AF">
            <w:pPr>
              <w:rPr>
                <w:i/>
                <w:color w:val="808080" w:themeColor="background1" w:themeShade="8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97A7D27" wp14:editId="03CEAA7F">
                  <wp:simplePos x="0" y="0"/>
                  <wp:positionH relativeFrom="column">
                    <wp:posOffset>1396365</wp:posOffset>
                  </wp:positionH>
                  <wp:positionV relativeFrom="paragraph">
                    <wp:posOffset>34290</wp:posOffset>
                  </wp:positionV>
                  <wp:extent cx="523875" cy="419100"/>
                  <wp:effectExtent l="0" t="0" r="9525" b="0"/>
                  <wp:wrapNone/>
                  <wp:docPr id="21006533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0653302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EB507C9" w14:textId="77777777" w:rsidR="00CB78AF" w:rsidRDefault="00CB78AF" w:rsidP="00CB78AF">
      <w:pPr>
        <w:rPr>
          <w:i/>
          <w:color w:val="808080" w:themeColor="background1" w:themeShade="80"/>
        </w:rPr>
      </w:pPr>
    </w:p>
    <w:p w14:paraId="77B8A4D0" w14:textId="77777777" w:rsidR="00E2714B" w:rsidRPr="00E2714B" w:rsidRDefault="00E2714B" w:rsidP="00667049">
      <w:pPr>
        <w:rPr>
          <w:i/>
        </w:rPr>
      </w:pPr>
    </w:p>
    <w:tbl>
      <w:tblPr>
        <w:tblW w:w="4965" w:type="pct"/>
        <w:tblInd w:w="108" w:type="dxa"/>
        <w:tblBorders>
          <w:top w:val="single" w:sz="6" w:space="0" w:color="5F6062"/>
          <w:left w:val="single" w:sz="6" w:space="0" w:color="5F6062"/>
          <w:bottom w:val="single" w:sz="6" w:space="0" w:color="5F6062"/>
          <w:right w:val="single" w:sz="6" w:space="0" w:color="5F6062"/>
          <w:insideH w:val="single" w:sz="6" w:space="0" w:color="5F6062"/>
          <w:insideV w:val="single" w:sz="6" w:space="0" w:color="5F6062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2037"/>
        <w:gridCol w:w="5190"/>
        <w:gridCol w:w="2833"/>
      </w:tblGrid>
      <w:tr w:rsidR="0061104A" w:rsidRPr="00FE761C" w14:paraId="0A00E337" w14:textId="0FD96C2E" w:rsidTr="0061104A">
        <w:trPr>
          <w:trHeight w:val="681"/>
        </w:trPr>
        <w:tc>
          <w:tcPr>
            <w:tcW w:w="330" w:type="pct"/>
            <w:shd w:val="clear" w:color="auto" w:fill="0072BC"/>
          </w:tcPr>
          <w:p w14:paraId="0197ADDC" w14:textId="77777777" w:rsidR="0061104A" w:rsidRPr="00CB78AF" w:rsidRDefault="0061104A" w:rsidP="007B14D3">
            <w:pPr>
              <w:pStyle w:val="Heading1"/>
              <w:jc w:val="center"/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</w:pPr>
            <w:r w:rsidRPr="00CB78AF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>STEP</w:t>
            </w:r>
            <w:r w:rsidRPr="00CB78AF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br/>
            </w:r>
          </w:p>
        </w:tc>
        <w:tc>
          <w:tcPr>
            <w:tcW w:w="945" w:type="pct"/>
            <w:shd w:val="clear" w:color="auto" w:fill="0072BC"/>
          </w:tcPr>
          <w:p w14:paraId="32F592C9" w14:textId="77777777" w:rsidR="0061104A" w:rsidRPr="00CB78AF" w:rsidRDefault="0061104A" w:rsidP="004A4A4A">
            <w:pPr>
              <w:pStyle w:val="BodyText2"/>
              <w:rPr>
                <w:rFonts w:asciiTheme="minorHAnsi" w:hAnsiTheme="minorHAnsi"/>
                <w:b/>
                <w:bCs w:val="0"/>
                <w:color w:val="FFFFFF" w:themeColor="background1"/>
                <w:sz w:val="24"/>
                <w:szCs w:val="24"/>
              </w:rPr>
            </w:pPr>
            <w:r w:rsidRPr="00CB78AF">
              <w:rPr>
                <w:rFonts w:asciiTheme="minorHAnsi" w:hAnsiTheme="minorHAnsi"/>
                <w:b/>
                <w:bCs w:val="0"/>
                <w:color w:val="FFFFFF" w:themeColor="background1"/>
                <w:sz w:val="24"/>
                <w:szCs w:val="24"/>
              </w:rPr>
              <w:t>ROLE/PERSON</w:t>
            </w:r>
          </w:p>
          <w:p w14:paraId="120CF5E6" w14:textId="77777777" w:rsidR="0061104A" w:rsidRPr="00CB78AF" w:rsidRDefault="0061104A" w:rsidP="004A4A4A">
            <w:pPr>
              <w:pStyle w:val="BodyText2"/>
              <w:rPr>
                <w:rFonts w:asciiTheme="minorHAnsi" w:hAnsiTheme="minorHAnsi"/>
                <w:b/>
                <w:bCs w:val="0"/>
                <w:color w:val="FFFFFF" w:themeColor="background1"/>
                <w:sz w:val="20"/>
              </w:rPr>
            </w:pPr>
            <w:r w:rsidRPr="00CB78AF">
              <w:rPr>
                <w:rFonts w:asciiTheme="minorHAnsi" w:hAnsiTheme="minorHAnsi"/>
                <w:color w:val="FFFFFF" w:themeColor="background1"/>
              </w:rPr>
              <w:t>List role responsible for each task</w:t>
            </w:r>
          </w:p>
        </w:tc>
        <w:tc>
          <w:tcPr>
            <w:tcW w:w="2409" w:type="pct"/>
            <w:shd w:val="clear" w:color="auto" w:fill="0072BC"/>
          </w:tcPr>
          <w:p w14:paraId="16424579" w14:textId="77777777" w:rsidR="0061104A" w:rsidRPr="00CB78AF" w:rsidRDefault="0061104A" w:rsidP="004A4A4A">
            <w:pPr>
              <w:pStyle w:val="Heading1"/>
              <w:jc w:val="center"/>
              <w:rPr>
                <w:rFonts w:asciiTheme="minorHAnsi" w:hAnsiTheme="minorHAnsi"/>
                <w:bCs/>
                <w:color w:val="FFFFFF" w:themeColor="background1"/>
                <w:sz w:val="24"/>
              </w:rPr>
            </w:pPr>
            <w:r w:rsidRPr="00CB78AF">
              <w:rPr>
                <w:rFonts w:asciiTheme="minorHAnsi" w:hAnsiTheme="minorHAnsi"/>
                <w:bCs/>
                <w:color w:val="FFFFFF" w:themeColor="background1"/>
                <w:sz w:val="24"/>
              </w:rPr>
              <w:t>TASK/STEP DESCRIPTION</w:t>
            </w:r>
          </w:p>
          <w:p w14:paraId="076FE4AD" w14:textId="35EB3E0B" w:rsidR="0061104A" w:rsidRPr="00CB78AF" w:rsidRDefault="0061104A" w:rsidP="004A4A4A">
            <w:pPr>
              <w:pStyle w:val="BodyText2"/>
              <w:rPr>
                <w:rFonts w:asciiTheme="minorHAnsi" w:hAnsiTheme="minorHAnsi"/>
                <w:color w:val="FFFFFF" w:themeColor="background1"/>
              </w:rPr>
            </w:pPr>
            <w:r w:rsidRPr="00CB78AF">
              <w:rPr>
                <w:rFonts w:asciiTheme="minorHAnsi" w:hAnsiTheme="minorHAnsi"/>
                <w:color w:val="FFFFFF" w:themeColor="background1"/>
              </w:rPr>
              <w:t xml:space="preserve">What action needs to be taken? </w:t>
            </w:r>
          </w:p>
        </w:tc>
        <w:tc>
          <w:tcPr>
            <w:tcW w:w="1315" w:type="pct"/>
            <w:shd w:val="clear" w:color="auto" w:fill="0072BC"/>
          </w:tcPr>
          <w:p w14:paraId="7B5F16F6" w14:textId="7FC00B6B" w:rsidR="0061104A" w:rsidRPr="00CB78AF" w:rsidRDefault="0061104A" w:rsidP="007F03F4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Rational </w:t>
            </w:r>
          </w:p>
        </w:tc>
      </w:tr>
      <w:tr w:rsidR="0061104A" w:rsidRPr="00FE761C" w14:paraId="7004D2DD" w14:textId="65C67500" w:rsidTr="0061104A">
        <w:trPr>
          <w:trHeight w:val="504"/>
        </w:trPr>
        <w:tc>
          <w:tcPr>
            <w:tcW w:w="330" w:type="pct"/>
            <w:shd w:val="clear" w:color="auto" w:fill="FFFFFF"/>
            <w:vAlign w:val="center"/>
          </w:tcPr>
          <w:p w14:paraId="5F197498" w14:textId="77777777" w:rsidR="0061104A" w:rsidRPr="00FF3426" w:rsidRDefault="0061104A" w:rsidP="007B14D3">
            <w:pPr>
              <w:jc w:val="center"/>
              <w:rPr>
                <w:rFonts w:asciiTheme="minorHAnsi" w:hAnsiTheme="minorHAnsi"/>
                <w:b/>
                <w:color w:val="5F6062"/>
                <w:sz w:val="24"/>
              </w:rPr>
            </w:pPr>
            <w:r w:rsidRPr="00FF3426">
              <w:rPr>
                <w:rFonts w:asciiTheme="minorHAnsi" w:hAnsiTheme="minorHAnsi"/>
                <w:b/>
                <w:color w:val="5F6062"/>
                <w:sz w:val="24"/>
              </w:rPr>
              <w:t>1.</w:t>
            </w:r>
          </w:p>
        </w:tc>
        <w:tc>
          <w:tcPr>
            <w:tcW w:w="945" w:type="pct"/>
            <w:shd w:val="clear" w:color="auto" w:fill="FFFFFF"/>
            <w:vAlign w:val="center"/>
          </w:tcPr>
          <w:p w14:paraId="6E9ACD39" w14:textId="017F4D61" w:rsidR="0061104A" w:rsidRPr="00FF3426" w:rsidRDefault="0061104A" w:rsidP="004A4A4A">
            <w:pPr>
              <w:rPr>
                <w:rFonts w:asciiTheme="minorHAnsi" w:hAnsiTheme="minorHAnsi"/>
                <w:bCs/>
                <w:color w:val="5F6062"/>
                <w:sz w:val="22"/>
              </w:rPr>
            </w:pPr>
            <w:r>
              <w:rPr>
                <w:rFonts w:asciiTheme="minorHAnsi" w:hAnsiTheme="minorHAnsi"/>
                <w:bCs/>
                <w:color w:val="5F6062"/>
                <w:sz w:val="22"/>
              </w:rPr>
              <w:t>Person taking blood or inserting cannula</w:t>
            </w:r>
          </w:p>
        </w:tc>
        <w:tc>
          <w:tcPr>
            <w:tcW w:w="2409" w:type="pct"/>
            <w:shd w:val="clear" w:color="auto" w:fill="FFFFFF"/>
          </w:tcPr>
          <w:p w14:paraId="4B64FE6F" w14:textId="6CBBDF00" w:rsidR="0061104A" w:rsidRPr="00C8235D" w:rsidRDefault="0061104A" w:rsidP="00C8235D">
            <w:pPr>
              <w:rPr>
                <w:rFonts w:asciiTheme="minorHAnsi" w:hAnsiTheme="minorHAnsi" w:cs="Arial"/>
                <w:sz w:val="24"/>
                <w:szCs w:val="24"/>
                <w:lang w:val="en-GB" w:eastAsia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 w:eastAsia="en-GB"/>
              </w:rPr>
              <w:t xml:space="preserve">All pre procedure actions must be followed according to </w:t>
            </w:r>
            <w:r w:rsidRPr="00C8235D">
              <w:rPr>
                <w:rFonts w:asciiTheme="minorHAnsi" w:hAnsiTheme="minorHAnsi" w:cs="Arial"/>
                <w:sz w:val="24"/>
                <w:szCs w:val="24"/>
                <w:lang w:val="en-GB" w:eastAsia="en-GB"/>
              </w:rPr>
              <w:t>Guideline and Competency Package for the Insertion, Management and</w:t>
            </w:r>
          </w:p>
          <w:p w14:paraId="43BFF406" w14:textId="6AB52641" w:rsidR="0061104A" w:rsidRPr="00FF3426" w:rsidRDefault="0061104A" w:rsidP="00C8235D">
            <w:pPr>
              <w:rPr>
                <w:rFonts w:asciiTheme="minorHAnsi" w:hAnsiTheme="minorHAnsi" w:cs="Arial"/>
                <w:sz w:val="24"/>
                <w:szCs w:val="24"/>
                <w:lang w:val="en-GB" w:eastAsia="en-GB"/>
              </w:rPr>
            </w:pPr>
            <w:r w:rsidRPr="00C8235D">
              <w:rPr>
                <w:rFonts w:asciiTheme="minorHAnsi" w:hAnsiTheme="minorHAnsi" w:cs="Arial"/>
                <w:sz w:val="24"/>
                <w:szCs w:val="24"/>
                <w:lang w:val="en-GB" w:eastAsia="en-GB"/>
              </w:rPr>
              <w:t>Removal of a Peripheral Venous Cannula and Guideline for Venepuncture and Obtaining a Venous</w:t>
            </w:r>
            <w:r>
              <w:rPr>
                <w:rFonts w:asciiTheme="minorHAnsi" w:hAnsiTheme="minorHAnsi" w:cs="Arial"/>
                <w:sz w:val="24"/>
                <w:szCs w:val="24"/>
                <w:lang w:val="en-GB" w:eastAsia="en-GB"/>
              </w:rPr>
              <w:t xml:space="preserve"> </w:t>
            </w:r>
            <w:r w:rsidRPr="00C8235D">
              <w:rPr>
                <w:rFonts w:asciiTheme="minorHAnsi" w:hAnsiTheme="minorHAnsi" w:cs="Arial"/>
                <w:sz w:val="24"/>
                <w:szCs w:val="24"/>
                <w:lang w:val="en-GB" w:eastAsia="en-GB"/>
              </w:rPr>
              <w:t>Blood Sample Using a Sharp-Safe Device</w:t>
            </w:r>
          </w:p>
        </w:tc>
        <w:tc>
          <w:tcPr>
            <w:tcW w:w="1315" w:type="pct"/>
            <w:shd w:val="clear" w:color="auto" w:fill="FFFFFF"/>
            <w:vAlign w:val="center"/>
          </w:tcPr>
          <w:p w14:paraId="36016ECF" w14:textId="27770305" w:rsidR="0061104A" w:rsidRPr="0061104A" w:rsidRDefault="0061104A" w:rsidP="00CF6990">
            <w:pPr>
              <w:pStyle w:val="Header"/>
              <w:rPr>
                <w:rFonts w:asciiTheme="minorHAnsi" w:hAnsiTheme="minorHAnsi"/>
                <w:bCs/>
                <w:sz w:val="24"/>
                <w:szCs w:val="24"/>
              </w:rPr>
            </w:pPr>
            <w:r w:rsidRPr="0061104A">
              <w:rPr>
                <w:rFonts w:asciiTheme="minorHAnsi" w:hAnsiTheme="minorHAnsi"/>
                <w:bCs/>
                <w:sz w:val="24"/>
                <w:szCs w:val="24"/>
              </w:rPr>
              <w:t xml:space="preserve">The guidance is for the use of a reusable tourniquet and does not replace any other guidance for any other procedure </w:t>
            </w:r>
          </w:p>
        </w:tc>
      </w:tr>
      <w:tr w:rsidR="0061104A" w:rsidRPr="00FE761C" w14:paraId="44CB4ECB" w14:textId="14B5BCEE" w:rsidTr="0061104A">
        <w:trPr>
          <w:trHeight w:val="504"/>
        </w:trPr>
        <w:tc>
          <w:tcPr>
            <w:tcW w:w="330" w:type="pct"/>
            <w:shd w:val="clear" w:color="auto" w:fill="FFFFFF"/>
            <w:vAlign w:val="center"/>
          </w:tcPr>
          <w:p w14:paraId="041A560F" w14:textId="77777777" w:rsidR="0061104A" w:rsidRPr="00FF3426" w:rsidRDefault="0061104A" w:rsidP="007B14D3">
            <w:pPr>
              <w:jc w:val="center"/>
              <w:rPr>
                <w:rFonts w:asciiTheme="minorHAnsi" w:hAnsiTheme="minorHAnsi"/>
                <w:b/>
                <w:color w:val="5F6062"/>
                <w:sz w:val="24"/>
              </w:rPr>
            </w:pPr>
            <w:r w:rsidRPr="00FF3426">
              <w:rPr>
                <w:rFonts w:asciiTheme="minorHAnsi" w:hAnsiTheme="minorHAnsi"/>
                <w:b/>
                <w:color w:val="5F6062"/>
                <w:sz w:val="24"/>
              </w:rPr>
              <w:t>2.</w:t>
            </w:r>
          </w:p>
        </w:tc>
        <w:tc>
          <w:tcPr>
            <w:tcW w:w="945" w:type="pct"/>
            <w:shd w:val="clear" w:color="auto" w:fill="FFFFFF"/>
            <w:vAlign w:val="center"/>
          </w:tcPr>
          <w:p w14:paraId="016434FA" w14:textId="448ACB77" w:rsidR="0061104A" w:rsidRPr="00FF3426" w:rsidRDefault="0061104A" w:rsidP="004A4A4A">
            <w:pPr>
              <w:rPr>
                <w:rFonts w:asciiTheme="minorHAnsi" w:hAnsiTheme="minorHAnsi"/>
                <w:bCs/>
                <w:color w:val="5F6062"/>
                <w:sz w:val="22"/>
              </w:rPr>
            </w:pPr>
            <w:r w:rsidRPr="00CF6990">
              <w:rPr>
                <w:rFonts w:asciiTheme="minorHAnsi" w:hAnsiTheme="minorHAnsi"/>
                <w:bCs/>
                <w:color w:val="5F6062"/>
                <w:sz w:val="22"/>
              </w:rPr>
              <w:t>Person taking blood or inserting cannula</w:t>
            </w:r>
          </w:p>
        </w:tc>
        <w:tc>
          <w:tcPr>
            <w:tcW w:w="2409" w:type="pct"/>
            <w:shd w:val="clear" w:color="auto" w:fill="FFFFFF"/>
          </w:tcPr>
          <w:p w14:paraId="7C50FEC8" w14:textId="34EA7929" w:rsidR="0061104A" w:rsidRPr="00CF6990" w:rsidRDefault="0061104A" w:rsidP="00CF6990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4"/>
                <w:szCs w:val="24"/>
                <w:lang w:val="en-GB" w:eastAsia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 w:eastAsia="en-GB"/>
              </w:rPr>
              <w:t>If the patient has a condition that means they are barrier or reverse barrier nurses, then a single use tourniquet must be used</w:t>
            </w:r>
          </w:p>
        </w:tc>
        <w:tc>
          <w:tcPr>
            <w:tcW w:w="1315" w:type="pct"/>
            <w:shd w:val="clear" w:color="auto" w:fill="FFFFFF"/>
            <w:vAlign w:val="center"/>
          </w:tcPr>
          <w:p w14:paraId="4A4B460D" w14:textId="37887924" w:rsidR="0061104A" w:rsidRPr="0061104A" w:rsidRDefault="0061104A" w:rsidP="004A4A4A">
            <w:pPr>
              <w:pStyle w:val="Header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61104A" w:rsidRPr="00FE761C" w14:paraId="063D7D23" w14:textId="5ACB3C58" w:rsidTr="0061104A">
        <w:trPr>
          <w:trHeight w:val="504"/>
        </w:trPr>
        <w:tc>
          <w:tcPr>
            <w:tcW w:w="330" w:type="pct"/>
            <w:shd w:val="clear" w:color="auto" w:fill="FFFFFF"/>
            <w:vAlign w:val="center"/>
          </w:tcPr>
          <w:p w14:paraId="469A9511" w14:textId="77777777" w:rsidR="0061104A" w:rsidRPr="00FF3426" w:rsidRDefault="0061104A" w:rsidP="007B14D3">
            <w:pPr>
              <w:jc w:val="center"/>
              <w:rPr>
                <w:rFonts w:asciiTheme="minorHAnsi" w:hAnsiTheme="minorHAnsi"/>
                <w:b/>
                <w:color w:val="5F6062"/>
                <w:sz w:val="24"/>
              </w:rPr>
            </w:pPr>
            <w:r w:rsidRPr="00FF3426">
              <w:rPr>
                <w:rFonts w:asciiTheme="minorHAnsi" w:hAnsiTheme="minorHAnsi"/>
                <w:b/>
                <w:color w:val="5F6062"/>
                <w:sz w:val="24"/>
              </w:rPr>
              <w:t>3.</w:t>
            </w:r>
          </w:p>
        </w:tc>
        <w:tc>
          <w:tcPr>
            <w:tcW w:w="945" w:type="pct"/>
            <w:shd w:val="clear" w:color="auto" w:fill="FFFFFF"/>
            <w:vAlign w:val="center"/>
          </w:tcPr>
          <w:p w14:paraId="3355866B" w14:textId="2EA44C81" w:rsidR="0061104A" w:rsidRPr="00FF3426" w:rsidRDefault="0061104A" w:rsidP="004A4A4A">
            <w:pPr>
              <w:pStyle w:val="Header"/>
              <w:tabs>
                <w:tab w:val="left" w:pos="720"/>
              </w:tabs>
              <w:rPr>
                <w:rFonts w:asciiTheme="minorHAnsi" w:hAnsiTheme="minorHAnsi"/>
                <w:bCs/>
                <w:color w:val="5F6062"/>
                <w:sz w:val="22"/>
              </w:rPr>
            </w:pPr>
            <w:r w:rsidRPr="00CF6990">
              <w:rPr>
                <w:rFonts w:asciiTheme="minorHAnsi" w:hAnsiTheme="minorHAnsi"/>
                <w:bCs/>
                <w:color w:val="5F6062"/>
                <w:sz w:val="22"/>
              </w:rPr>
              <w:t>Person taking blood or inserting cannula</w:t>
            </w:r>
          </w:p>
        </w:tc>
        <w:tc>
          <w:tcPr>
            <w:tcW w:w="2409" w:type="pct"/>
            <w:shd w:val="clear" w:color="auto" w:fill="FFFFFF"/>
            <w:vAlign w:val="center"/>
          </w:tcPr>
          <w:p w14:paraId="73127728" w14:textId="071DE700" w:rsidR="0061104A" w:rsidRPr="005C05AE" w:rsidRDefault="0061104A" w:rsidP="00CF6990">
            <w:pPr>
              <w:pStyle w:val="Header"/>
              <w:tabs>
                <w:tab w:val="left" w:pos="720"/>
              </w:tabs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If the patient has a condition that causes </w:t>
            </w:r>
            <w:r w:rsidR="007F3C4C">
              <w:rPr>
                <w:rFonts w:asciiTheme="minorHAnsi" w:hAnsiTheme="minorHAnsi"/>
                <w:bCs/>
                <w:sz w:val="24"/>
                <w:szCs w:val="24"/>
              </w:rPr>
              <w:t>skin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to flake</w:t>
            </w:r>
            <w:r w:rsidR="007F3C4C">
              <w:rPr>
                <w:rFonts w:asciiTheme="minorHAnsi" w:hAnsiTheme="minorHAnsi"/>
                <w:bCs/>
                <w:sz w:val="24"/>
                <w:szCs w:val="24"/>
              </w:rPr>
              <w:t>, bruise or tear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then a single use tourniquet should be used. </w:t>
            </w:r>
          </w:p>
        </w:tc>
        <w:tc>
          <w:tcPr>
            <w:tcW w:w="1315" w:type="pct"/>
            <w:shd w:val="clear" w:color="auto" w:fill="FFFFFF"/>
            <w:vAlign w:val="center"/>
          </w:tcPr>
          <w:p w14:paraId="267233E4" w14:textId="365FBED5" w:rsidR="0061104A" w:rsidRPr="0061104A" w:rsidRDefault="0061104A" w:rsidP="004A4A4A">
            <w:pPr>
              <w:tabs>
                <w:tab w:val="left" w:pos="720"/>
              </w:tabs>
              <w:rPr>
                <w:rFonts w:asciiTheme="minorHAnsi" w:hAnsiTheme="minorHAnsi"/>
                <w:bCs/>
                <w:sz w:val="24"/>
                <w:szCs w:val="24"/>
              </w:rPr>
            </w:pPr>
            <w:r w:rsidRPr="0061104A">
              <w:rPr>
                <w:rFonts w:asciiTheme="minorHAnsi" w:hAnsiTheme="minorHAnsi"/>
                <w:bCs/>
                <w:sz w:val="24"/>
                <w:szCs w:val="24"/>
              </w:rPr>
              <w:t>Flakes of skin may get caught in the buckle mechanism making it hard to clean.</w:t>
            </w:r>
          </w:p>
        </w:tc>
      </w:tr>
      <w:tr w:rsidR="0061104A" w:rsidRPr="00FE761C" w14:paraId="14A50CF6" w14:textId="77777777" w:rsidTr="0061104A">
        <w:trPr>
          <w:trHeight w:val="504"/>
        </w:trPr>
        <w:tc>
          <w:tcPr>
            <w:tcW w:w="330" w:type="pct"/>
            <w:shd w:val="clear" w:color="auto" w:fill="FFFFFF"/>
            <w:vAlign w:val="center"/>
          </w:tcPr>
          <w:p w14:paraId="5F426164" w14:textId="6F65715B" w:rsidR="0061104A" w:rsidRPr="00FF3426" w:rsidRDefault="0061104A" w:rsidP="007B14D3">
            <w:pPr>
              <w:jc w:val="center"/>
              <w:rPr>
                <w:rFonts w:asciiTheme="minorHAnsi" w:hAnsiTheme="minorHAnsi"/>
                <w:b/>
                <w:color w:val="5F6062"/>
                <w:sz w:val="24"/>
              </w:rPr>
            </w:pPr>
            <w:r>
              <w:rPr>
                <w:rFonts w:asciiTheme="minorHAnsi" w:hAnsiTheme="minorHAnsi"/>
                <w:b/>
                <w:color w:val="5F6062"/>
                <w:sz w:val="24"/>
              </w:rPr>
              <w:t>4.</w:t>
            </w:r>
          </w:p>
        </w:tc>
        <w:tc>
          <w:tcPr>
            <w:tcW w:w="945" w:type="pct"/>
            <w:shd w:val="clear" w:color="auto" w:fill="FFFFFF"/>
            <w:vAlign w:val="center"/>
          </w:tcPr>
          <w:p w14:paraId="109F12CC" w14:textId="44C54AE9" w:rsidR="0061104A" w:rsidRPr="00CF6990" w:rsidRDefault="0061104A" w:rsidP="004A4A4A">
            <w:pPr>
              <w:pStyle w:val="Header"/>
              <w:tabs>
                <w:tab w:val="left" w:pos="720"/>
              </w:tabs>
              <w:rPr>
                <w:rFonts w:asciiTheme="minorHAnsi" w:hAnsiTheme="minorHAnsi"/>
                <w:bCs/>
                <w:color w:val="5F6062"/>
                <w:sz w:val="22"/>
              </w:rPr>
            </w:pPr>
            <w:r w:rsidRPr="00CF6990">
              <w:rPr>
                <w:rFonts w:asciiTheme="minorHAnsi" w:hAnsiTheme="minorHAnsi"/>
                <w:bCs/>
                <w:color w:val="5F6062"/>
                <w:sz w:val="22"/>
              </w:rPr>
              <w:t>Person taking blood or inserting cannula</w:t>
            </w:r>
          </w:p>
        </w:tc>
        <w:tc>
          <w:tcPr>
            <w:tcW w:w="2409" w:type="pct"/>
            <w:shd w:val="clear" w:color="auto" w:fill="FFFFFF"/>
            <w:vAlign w:val="center"/>
          </w:tcPr>
          <w:p w14:paraId="41A0CAF1" w14:textId="56F38DEB" w:rsidR="0061104A" w:rsidRPr="005C05AE" w:rsidRDefault="0061104A" w:rsidP="00CF6990">
            <w:pPr>
              <w:pStyle w:val="Header"/>
              <w:tabs>
                <w:tab w:val="left" w:pos="720"/>
              </w:tabs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Once used the reusable tourniquet must be cleaned using Tristel and according to </w:t>
            </w:r>
            <w:r w:rsidRPr="0061104A">
              <w:rPr>
                <w:rFonts w:asciiTheme="minorHAnsi" w:hAnsiTheme="minorHAnsi"/>
                <w:bCs/>
                <w:sz w:val="24"/>
                <w:szCs w:val="24"/>
              </w:rPr>
              <w:t>Chemical cleaning of reusable tourniquets (TQ)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risk assessment </w:t>
            </w:r>
          </w:p>
        </w:tc>
        <w:tc>
          <w:tcPr>
            <w:tcW w:w="1315" w:type="pct"/>
            <w:shd w:val="clear" w:color="auto" w:fill="FFFFFF"/>
            <w:vAlign w:val="center"/>
          </w:tcPr>
          <w:p w14:paraId="5096472E" w14:textId="77777777" w:rsidR="0061104A" w:rsidRPr="00FF3426" w:rsidRDefault="0061104A" w:rsidP="004A4A4A">
            <w:pPr>
              <w:tabs>
                <w:tab w:val="left" w:pos="720"/>
              </w:tabs>
              <w:rPr>
                <w:rFonts w:asciiTheme="minorHAnsi" w:hAnsiTheme="minorHAnsi"/>
                <w:bCs/>
                <w:color w:val="5F6062"/>
                <w:sz w:val="22"/>
              </w:rPr>
            </w:pPr>
          </w:p>
        </w:tc>
      </w:tr>
      <w:tr w:rsidR="0061104A" w:rsidRPr="00FE761C" w14:paraId="6ED3CF31" w14:textId="77777777" w:rsidTr="0061104A">
        <w:trPr>
          <w:trHeight w:val="504"/>
        </w:trPr>
        <w:tc>
          <w:tcPr>
            <w:tcW w:w="330" w:type="pct"/>
            <w:shd w:val="clear" w:color="auto" w:fill="FFFFFF"/>
            <w:vAlign w:val="center"/>
          </w:tcPr>
          <w:p w14:paraId="33DF0069" w14:textId="49F80A40" w:rsidR="0061104A" w:rsidRDefault="0061104A" w:rsidP="007B14D3">
            <w:pPr>
              <w:jc w:val="center"/>
              <w:rPr>
                <w:rFonts w:asciiTheme="minorHAnsi" w:hAnsiTheme="minorHAnsi"/>
                <w:b/>
                <w:color w:val="5F6062"/>
                <w:sz w:val="24"/>
              </w:rPr>
            </w:pPr>
            <w:r>
              <w:rPr>
                <w:rFonts w:asciiTheme="minorHAnsi" w:hAnsiTheme="minorHAnsi"/>
                <w:b/>
                <w:color w:val="5F6062"/>
                <w:sz w:val="24"/>
              </w:rPr>
              <w:t>5.</w:t>
            </w:r>
          </w:p>
        </w:tc>
        <w:tc>
          <w:tcPr>
            <w:tcW w:w="945" w:type="pct"/>
            <w:shd w:val="clear" w:color="auto" w:fill="FFFFFF"/>
            <w:vAlign w:val="center"/>
          </w:tcPr>
          <w:p w14:paraId="0D1F84AE" w14:textId="360324D8" w:rsidR="0061104A" w:rsidRPr="00CF6990" w:rsidRDefault="0061104A" w:rsidP="004A4A4A">
            <w:pPr>
              <w:pStyle w:val="Header"/>
              <w:tabs>
                <w:tab w:val="left" w:pos="720"/>
              </w:tabs>
              <w:rPr>
                <w:rFonts w:asciiTheme="minorHAnsi" w:hAnsiTheme="minorHAnsi"/>
                <w:bCs/>
                <w:color w:val="5F6062"/>
                <w:sz w:val="22"/>
              </w:rPr>
            </w:pPr>
            <w:r w:rsidRPr="0061104A">
              <w:rPr>
                <w:rFonts w:asciiTheme="minorHAnsi" w:hAnsiTheme="minorHAnsi"/>
                <w:bCs/>
                <w:color w:val="5F6062"/>
                <w:sz w:val="22"/>
              </w:rPr>
              <w:t>Person taking blood or inserting cannula</w:t>
            </w:r>
          </w:p>
        </w:tc>
        <w:tc>
          <w:tcPr>
            <w:tcW w:w="2409" w:type="pct"/>
            <w:shd w:val="clear" w:color="auto" w:fill="FFFFFF"/>
            <w:vAlign w:val="center"/>
          </w:tcPr>
          <w:p w14:paraId="0D31B419" w14:textId="02E02B51" w:rsidR="0061104A" w:rsidRPr="005C05AE" w:rsidRDefault="0061104A" w:rsidP="00CF6990">
            <w:pPr>
              <w:pStyle w:val="Header"/>
              <w:tabs>
                <w:tab w:val="left" w:pos="720"/>
              </w:tabs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The device must be given adequate time to dry between use, this means in high use areas there will be a need for more than one device.</w:t>
            </w:r>
          </w:p>
        </w:tc>
        <w:tc>
          <w:tcPr>
            <w:tcW w:w="1315" w:type="pct"/>
            <w:shd w:val="clear" w:color="auto" w:fill="FFFFFF"/>
            <w:vAlign w:val="center"/>
          </w:tcPr>
          <w:p w14:paraId="46D6CEFD" w14:textId="2B344EE9" w:rsidR="0061104A" w:rsidRPr="00FF3426" w:rsidRDefault="0061104A" w:rsidP="004A4A4A">
            <w:pPr>
              <w:tabs>
                <w:tab w:val="left" w:pos="720"/>
              </w:tabs>
              <w:rPr>
                <w:rFonts w:asciiTheme="minorHAnsi" w:hAnsiTheme="minorHAnsi"/>
                <w:bCs/>
                <w:color w:val="5F6062"/>
                <w:sz w:val="22"/>
              </w:rPr>
            </w:pPr>
            <w:r w:rsidRPr="0061104A">
              <w:rPr>
                <w:rFonts w:asciiTheme="minorHAnsi" w:hAnsiTheme="minorHAnsi"/>
                <w:bCs/>
                <w:sz w:val="24"/>
                <w:szCs w:val="22"/>
              </w:rPr>
              <w:t xml:space="preserve">To allow for full decontamination by Tristel </w:t>
            </w:r>
          </w:p>
        </w:tc>
      </w:tr>
    </w:tbl>
    <w:p w14:paraId="73BC2B01" w14:textId="77777777" w:rsidR="0081145E" w:rsidRDefault="0081145E" w:rsidP="004E7DE0">
      <w:pPr>
        <w:pStyle w:val="Header"/>
        <w:rPr>
          <w:b/>
          <w:bCs/>
          <w:color w:val="5F6062"/>
          <w:sz w:val="36"/>
        </w:rPr>
      </w:pPr>
    </w:p>
    <w:p w14:paraId="3F4CBCFA" w14:textId="77777777" w:rsidR="0081145E" w:rsidRDefault="0081145E" w:rsidP="004E7DE0">
      <w:pPr>
        <w:pStyle w:val="Header"/>
        <w:rPr>
          <w:b/>
          <w:bCs/>
          <w:color w:val="5F6062"/>
          <w:sz w:val="36"/>
        </w:rPr>
      </w:pPr>
    </w:p>
    <w:p w14:paraId="148957DA" w14:textId="77777777" w:rsidR="0081145E" w:rsidRDefault="0081145E" w:rsidP="004E7DE0">
      <w:pPr>
        <w:pStyle w:val="Header"/>
        <w:rPr>
          <w:b/>
          <w:bCs/>
          <w:color w:val="5F6062"/>
          <w:sz w:val="36"/>
        </w:rPr>
      </w:pPr>
    </w:p>
    <w:p w14:paraId="24E54A50" w14:textId="77777777" w:rsidR="0081145E" w:rsidRDefault="0081145E" w:rsidP="004E7DE0">
      <w:pPr>
        <w:pStyle w:val="Header"/>
        <w:rPr>
          <w:b/>
          <w:bCs/>
          <w:color w:val="5F6062"/>
          <w:sz w:val="36"/>
        </w:rPr>
      </w:pPr>
    </w:p>
    <w:p w14:paraId="167A606C" w14:textId="77777777" w:rsidR="0081145E" w:rsidRDefault="0081145E" w:rsidP="004E7DE0">
      <w:pPr>
        <w:pStyle w:val="Header"/>
        <w:rPr>
          <w:b/>
          <w:bCs/>
          <w:color w:val="5F6062"/>
          <w:sz w:val="36"/>
        </w:rPr>
      </w:pPr>
    </w:p>
    <w:p w14:paraId="7738339C" w14:textId="053FB983" w:rsidR="0081145E" w:rsidRDefault="004E7DE0" w:rsidP="0081145E">
      <w:pPr>
        <w:pStyle w:val="Header"/>
        <w:rPr>
          <w:b/>
          <w:bCs/>
          <w:i/>
          <w:iCs/>
          <w:color w:val="5F6062"/>
        </w:rPr>
      </w:pPr>
      <w:r w:rsidRPr="00FE761C">
        <w:rPr>
          <w:b/>
          <w:bCs/>
          <w:color w:val="5F6062"/>
          <w:sz w:val="36"/>
        </w:rPr>
        <w:lastRenderedPageBreak/>
        <w:t xml:space="preserve">Photo Page </w:t>
      </w:r>
      <w:r w:rsidRPr="00FE761C">
        <w:rPr>
          <w:b/>
          <w:bCs/>
          <w:i/>
          <w:iCs/>
          <w:color w:val="5F6062"/>
        </w:rPr>
        <w:t>(optional; use as many sections as needed and post with the standard process description)</w:t>
      </w:r>
    </w:p>
    <w:p w14:paraId="415E87EC" w14:textId="7AA26856" w:rsidR="0081145E" w:rsidRPr="0081145E" w:rsidRDefault="0081145E" w:rsidP="0081145E">
      <w:pPr>
        <w:tabs>
          <w:tab w:val="left" w:pos="1410"/>
        </w:tabs>
      </w:pPr>
    </w:p>
    <w:p w14:paraId="3BC39C25" w14:textId="75E6F734" w:rsidR="00F43269" w:rsidRDefault="0081145E">
      <w:r>
        <w:rPr>
          <w:noProof/>
        </w:rPr>
        <w:drawing>
          <wp:inline distT="0" distB="0" distL="0" distR="0" wp14:anchorId="21CAB725" wp14:editId="2A40DEF2">
            <wp:extent cx="5678883" cy="7950200"/>
            <wp:effectExtent l="0" t="0" r="0" b="0"/>
            <wp:docPr id="7904057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876" cy="7959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49F927" w14:textId="77777777" w:rsidR="0053249F" w:rsidRDefault="0053249F"/>
    <w:p w14:paraId="62E83278" w14:textId="77777777" w:rsidR="0053249F" w:rsidRDefault="0053249F"/>
    <w:sectPr w:rsidR="0053249F" w:rsidSect="00941A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707" w:bottom="1440" w:left="567" w:header="85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436C21" w14:textId="77777777" w:rsidR="0026526C" w:rsidRDefault="0026526C" w:rsidP="00602D89">
      <w:r>
        <w:separator/>
      </w:r>
    </w:p>
  </w:endnote>
  <w:endnote w:type="continuationSeparator" w:id="0">
    <w:p w14:paraId="638EB9F1" w14:textId="77777777" w:rsidR="0026526C" w:rsidRDefault="0026526C" w:rsidP="00602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DF42E4" w14:textId="77777777" w:rsidR="00913CE5" w:rsidRDefault="00913C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2FF2A7" w14:textId="77777777" w:rsidR="0047576A" w:rsidRDefault="0047576A"/>
  <w:tbl>
    <w:tblPr>
      <w:tblW w:w="9948" w:type="dxa"/>
      <w:tblInd w:w="534" w:type="dxa"/>
      <w:tblBorders>
        <w:top w:val="single" w:sz="6" w:space="0" w:color="5F6062"/>
        <w:left w:val="single" w:sz="6" w:space="0" w:color="5F6062"/>
        <w:bottom w:val="single" w:sz="6" w:space="0" w:color="5F6062"/>
        <w:right w:val="single" w:sz="6" w:space="0" w:color="5F6062"/>
        <w:insideH w:val="single" w:sz="6" w:space="0" w:color="5F6062"/>
        <w:insideV w:val="single" w:sz="6" w:space="0" w:color="5F6062"/>
      </w:tblBorders>
      <w:tblLayout w:type="fixed"/>
      <w:tblLook w:val="0000" w:firstRow="0" w:lastRow="0" w:firstColumn="0" w:lastColumn="0" w:noHBand="0" w:noVBand="0"/>
    </w:tblPr>
    <w:tblGrid>
      <w:gridCol w:w="3078"/>
      <w:gridCol w:w="3240"/>
      <w:gridCol w:w="3630"/>
    </w:tblGrid>
    <w:tr w:rsidR="004E7DE0" w14:paraId="35016606" w14:textId="77777777" w:rsidTr="00941A16">
      <w:trPr>
        <w:cantSplit/>
      </w:trPr>
      <w:tc>
        <w:tcPr>
          <w:tcW w:w="3078" w:type="dxa"/>
          <w:shd w:val="clear" w:color="auto" w:fill="FFFFFF"/>
        </w:tcPr>
        <w:p w14:paraId="237CB874" w14:textId="1CB60AB4" w:rsidR="004E7DE0" w:rsidRPr="004E7DE0" w:rsidRDefault="004E7DE0" w:rsidP="004A4A4A">
          <w:pPr>
            <w:rPr>
              <w:rFonts w:asciiTheme="minorHAnsi" w:hAnsiTheme="minorHAnsi"/>
              <w:color w:val="5F6062"/>
              <w:sz w:val="16"/>
            </w:rPr>
          </w:pPr>
          <w:r w:rsidRPr="004E7DE0">
            <w:rPr>
              <w:rFonts w:asciiTheme="minorHAnsi" w:hAnsiTheme="minorHAnsi"/>
              <w:b/>
              <w:color w:val="5F6062"/>
              <w:sz w:val="16"/>
            </w:rPr>
            <w:t>Approval Date:</w:t>
          </w:r>
          <w:r w:rsidRPr="004E7DE0">
            <w:rPr>
              <w:rFonts w:asciiTheme="minorHAnsi" w:hAnsiTheme="minorHAnsi"/>
              <w:color w:val="5F6062"/>
              <w:sz w:val="16"/>
            </w:rPr>
            <w:t xml:space="preserve"> </w:t>
          </w:r>
        </w:p>
        <w:p w14:paraId="02BCEE12" w14:textId="77777777" w:rsidR="004E7DE0" w:rsidRPr="004E7DE0" w:rsidRDefault="004E7DE0" w:rsidP="004A4A4A">
          <w:pPr>
            <w:rPr>
              <w:rFonts w:asciiTheme="minorHAnsi" w:hAnsiTheme="minorHAnsi"/>
              <w:b/>
              <w:color w:val="5F6062"/>
              <w:sz w:val="16"/>
            </w:rPr>
          </w:pPr>
        </w:p>
      </w:tc>
      <w:tc>
        <w:tcPr>
          <w:tcW w:w="3240" w:type="dxa"/>
          <w:shd w:val="clear" w:color="auto" w:fill="FFFFFF"/>
        </w:tcPr>
        <w:p w14:paraId="2505D74C" w14:textId="77777777" w:rsidR="004E7DE0" w:rsidRDefault="004E7DE0" w:rsidP="00396425">
          <w:pPr>
            <w:rPr>
              <w:rFonts w:asciiTheme="minorHAnsi" w:hAnsiTheme="minorHAnsi"/>
              <w:color w:val="5F6062"/>
              <w:sz w:val="16"/>
            </w:rPr>
          </w:pPr>
          <w:r w:rsidRPr="004E7DE0">
            <w:rPr>
              <w:rFonts w:asciiTheme="minorHAnsi" w:hAnsiTheme="minorHAnsi"/>
              <w:b/>
              <w:color w:val="5F6062"/>
              <w:sz w:val="16"/>
            </w:rPr>
            <w:t xml:space="preserve">Approved by:  </w:t>
          </w:r>
        </w:p>
        <w:p w14:paraId="6C213F46" w14:textId="77777777" w:rsidR="00396425" w:rsidRPr="00396425" w:rsidRDefault="00396425" w:rsidP="00396425">
          <w:pPr>
            <w:rPr>
              <w:rFonts w:asciiTheme="minorHAnsi" w:hAnsiTheme="minorHAnsi"/>
              <w:b/>
              <w:i/>
              <w:color w:val="5F6062"/>
              <w:sz w:val="16"/>
            </w:rPr>
          </w:pPr>
          <w:r>
            <w:rPr>
              <w:rFonts w:asciiTheme="minorHAnsi" w:hAnsiTheme="minorHAnsi"/>
              <w:i/>
              <w:color w:val="5F6062"/>
              <w:sz w:val="16"/>
            </w:rPr>
            <w:t>Area or Person</w:t>
          </w:r>
        </w:p>
      </w:tc>
      <w:tc>
        <w:tcPr>
          <w:tcW w:w="3630" w:type="dxa"/>
          <w:shd w:val="clear" w:color="auto" w:fill="FFFFFF"/>
        </w:tcPr>
        <w:p w14:paraId="528547E8" w14:textId="77777777" w:rsidR="00941A16" w:rsidRDefault="004E7DE0" w:rsidP="004A4A4A">
          <w:pPr>
            <w:rPr>
              <w:rFonts w:asciiTheme="minorHAnsi" w:hAnsiTheme="minorHAnsi"/>
              <w:b/>
              <w:color w:val="5F6062"/>
              <w:sz w:val="16"/>
            </w:rPr>
          </w:pPr>
          <w:r w:rsidRPr="004E7DE0">
            <w:rPr>
              <w:rFonts w:asciiTheme="minorHAnsi" w:hAnsiTheme="minorHAnsi"/>
              <w:b/>
              <w:color w:val="5F6062"/>
              <w:sz w:val="16"/>
            </w:rPr>
            <w:t xml:space="preserve">Author: </w:t>
          </w:r>
          <w:r w:rsidRPr="004E7DE0">
            <w:rPr>
              <w:rFonts w:asciiTheme="minorHAnsi" w:hAnsiTheme="minorHAnsi"/>
              <w:color w:val="5F6062"/>
              <w:sz w:val="16"/>
            </w:rPr>
            <w:t>Insert name/role</w:t>
          </w:r>
          <w:r w:rsidR="00941A16" w:rsidRPr="004E7DE0">
            <w:rPr>
              <w:rFonts w:asciiTheme="minorHAnsi" w:hAnsiTheme="minorHAnsi"/>
              <w:b/>
              <w:color w:val="5F6062"/>
              <w:sz w:val="16"/>
            </w:rPr>
            <w:t xml:space="preserve"> </w:t>
          </w:r>
        </w:p>
        <w:p w14:paraId="5E246346" w14:textId="77777777" w:rsidR="004E7DE0" w:rsidRPr="004E7DE0" w:rsidRDefault="00941A16" w:rsidP="004A4A4A">
          <w:pPr>
            <w:rPr>
              <w:rFonts w:asciiTheme="minorHAnsi" w:hAnsiTheme="minorHAnsi"/>
              <w:b/>
              <w:color w:val="5F6062"/>
              <w:sz w:val="16"/>
            </w:rPr>
          </w:pPr>
          <w:r w:rsidRPr="004E7DE0">
            <w:rPr>
              <w:rFonts w:asciiTheme="minorHAnsi" w:hAnsiTheme="minorHAnsi"/>
              <w:b/>
              <w:color w:val="5F6062"/>
              <w:sz w:val="16"/>
            </w:rPr>
            <w:t>Next Review Date:</w:t>
          </w:r>
        </w:p>
      </w:tc>
    </w:tr>
  </w:tbl>
  <w:p w14:paraId="11B3B5BF" w14:textId="77777777" w:rsidR="004E7DE0" w:rsidRPr="00FE761C" w:rsidRDefault="004E7DE0" w:rsidP="004E7DE0">
    <w:pPr>
      <w:pStyle w:val="Footer"/>
      <w:jc w:val="center"/>
      <w:rPr>
        <w:rStyle w:val="PageNumber"/>
        <w:color w:val="5F6062"/>
      </w:rPr>
    </w:pPr>
    <w:r w:rsidRPr="00FE761C">
      <w:rPr>
        <w:color w:val="5F6062"/>
      </w:rPr>
      <w:t xml:space="preserve">Page </w:t>
    </w:r>
    <w:r w:rsidRPr="00FE761C">
      <w:rPr>
        <w:rStyle w:val="PageNumber"/>
        <w:color w:val="5F6062"/>
      </w:rPr>
      <w:fldChar w:fldCharType="begin"/>
    </w:r>
    <w:r w:rsidRPr="00FE761C">
      <w:rPr>
        <w:rStyle w:val="PageNumber"/>
        <w:color w:val="5F6062"/>
      </w:rPr>
      <w:instrText xml:space="preserve"> PAGE </w:instrText>
    </w:r>
    <w:r w:rsidRPr="00FE761C">
      <w:rPr>
        <w:rStyle w:val="PageNumber"/>
        <w:color w:val="5F6062"/>
      </w:rPr>
      <w:fldChar w:fldCharType="separate"/>
    </w:r>
    <w:r w:rsidR="003D4136">
      <w:rPr>
        <w:rStyle w:val="PageNumber"/>
        <w:noProof/>
        <w:color w:val="5F6062"/>
      </w:rPr>
      <w:t>2</w:t>
    </w:r>
    <w:r w:rsidRPr="00FE761C">
      <w:rPr>
        <w:rStyle w:val="PageNumber"/>
        <w:color w:val="5F6062"/>
      </w:rPr>
      <w:fldChar w:fldCharType="end"/>
    </w:r>
    <w:r w:rsidRPr="00FE761C">
      <w:rPr>
        <w:rStyle w:val="PageNumber"/>
        <w:color w:val="5F6062"/>
      </w:rPr>
      <w:t xml:space="preserve"> of </w:t>
    </w:r>
    <w:r w:rsidR="00881769">
      <w:rPr>
        <w:rStyle w:val="PageNumber"/>
        <w:color w:val="5F6062"/>
      </w:rPr>
      <w:t>2</w:t>
    </w:r>
  </w:p>
  <w:p w14:paraId="36501164" w14:textId="77777777" w:rsidR="00602D89" w:rsidRPr="00602D89" w:rsidRDefault="00602D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CA3984" w14:textId="77777777" w:rsidR="00913CE5" w:rsidRDefault="00913C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7AF0B7" w14:textId="77777777" w:rsidR="0026526C" w:rsidRDefault="0026526C" w:rsidP="00602D89">
      <w:r>
        <w:separator/>
      </w:r>
    </w:p>
  </w:footnote>
  <w:footnote w:type="continuationSeparator" w:id="0">
    <w:p w14:paraId="4EEEB866" w14:textId="77777777" w:rsidR="0026526C" w:rsidRDefault="0026526C" w:rsidP="00602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C4032B" w14:textId="77777777" w:rsidR="00913CE5" w:rsidRDefault="00913C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52BA89" w14:textId="2426404D" w:rsidR="00602D89" w:rsidRDefault="00913CE5" w:rsidP="00602D89">
    <w:pPr>
      <w:pStyle w:val="Header"/>
      <w:jc w:val="right"/>
    </w:pPr>
    <w:r>
      <w:rPr>
        <w:rStyle w:val="wacimagecontainer"/>
        <w:noProof/>
      </w:rPr>
      <w:drawing>
        <wp:anchor distT="0" distB="0" distL="114300" distR="114300" simplePos="0" relativeHeight="251660800" behindDoc="1" locked="0" layoutInCell="1" allowOverlap="1" wp14:anchorId="1D5D4FF2" wp14:editId="7952C609">
          <wp:simplePos x="0" y="0"/>
          <wp:positionH relativeFrom="column">
            <wp:posOffset>-236220</wp:posOffset>
          </wp:positionH>
          <wp:positionV relativeFrom="paragraph">
            <wp:posOffset>-425450</wp:posOffset>
          </wp:positionV>
          <wp:extent cx="2419350" cy="963930"/>
          <wp:effectExtent l="0" t="0" r="0" b="7620"/>
          <wp:wrapTight wrapText="bothSides">
            <wp:wrapPolygon edited="0">
              <wp:start x="1531" y="0"/>
              <wp:lineTo x="0" y="7257"/>
              <wp:lineTo x="680" y="14514"/>
              <wp:lineTo x="680" y="18783"/>
              <wp:lineTo x="6463" y="20490"/>
              <wp:lineTo x="19049" y="21344"/>
              <wp:lineTo x="20069" y="21344"/>
              <wp:lineTo x="21430" y="19636"/>
              <wp:lineTo x="21260" y="16648"/>
              <wp:lineTo x="7483" y="14514"/>
              <wp:lineTo x="7313" y="5123"/>
              <wp:lineTo x="4592" y="854"/>
              <wp:lineTo x="2721" y="0"/>
              <wp:lineTo x="1531" y="0"/>
            </wp:wrapPolygon>
          </wp:wrapTight>
          <wp:docPr id="46787788" name="Picture 1" descr="A blue and white logo with purple and pin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87788" name="Picture 1" descr="A blue and white logo with purple and pin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963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br/>
    </w:r>
    <w:r w:rsidR="0053249F">
      <w:rPr>
        <w:noProof/>
        <w:lang w:val="en-GB" w:eastAsia="en-GB"/>
      </w:rPr>
      <w:drawing>
        <wp:anchor distT="0" distB="0" distL="114300" distR="114300" simplePos="0" relativeHeight="251657728" behindDoc="1" locked="0" layoutInCell="1" allowOverlap="1" wp14:anchorId="3C1C04B1" wp14:editId="6CDDA2E8">
          <wp:simplePos x="0" y="0"/>
          <wp:positionH relativeFrom="column">
            <wp:posOffset>4773930</wp:posOffset>
          </wp:positionH>
          <wp:positionV relativeFrom="paragraph">
            <wp:posOffset>-534670</wp:posOffset>
          </wp:positionV>
          <wp:extent cx="2410460" cy="1082675"/>
          <wp:effectExtent l="0" t="0" r="8890" b="317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rsity Hospitals Coventry and Warwickshire NHS Trust ÔÇô RGB BLUE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0460" cy="1082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CB0956" w14:textId="77777777" w:rsidR="00602D89" w:rsidRPr="00602D89" w:rsidRDefault="00602D89" w:rsidP="00602D89">
    <w:pPr>
      <w:pStyle w:val="Header"/>
      <w:jc w:val="center"/>
      <w:rPr>
        <w:rFonts w:asciiTheme="minorHAnsi" w:hAnsiTheme="minorHAnsi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FD98A3" w14:textId="77777777" w:rsidR="00913CE5" w:rsidRDefault="00913C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C3CD6"/>
    <w:multiLevelType w:val="hybridMultilevel"/>
    <w:tmpl w:val="456E0B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D3055F"/>
    <w:multiLevelType w:val="hybridMultilevel"/>
    <w:tmpl w:val="949E1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33A7B"/>
    <w:multiLevelType w:val="hybridMultilevel"/>
    <w:tmpl w:val="77FED4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E91D35"/>
    <w:multiLevelType w:val="hybridMultilevel"/>
    <w:tmpl w:val="52808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C82354"/>
    <w:multiLevelType w:val="hybridMultilevel"/>
    <w:tmpl w:val="13C24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0406D"/>
    <w:multiLevelType w:val="hybridMultilevel"/>
    <w:tmpl w:val="BEC88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206166">
    <w:abstractNumId w:val="2"/>
  </w:num>
  <w:num w:numId="2" w16cid:durableId="426654775">
    <w:abstractNumId w:val="5"/>
  </w:num>
  <w:num w:numId="3" w16cid:durableId="1141578536">
    <w:abstractNumId w:val="0"/>
  </w:num>
  <w:num w:numId="4" w16cid:durableId="1759863280">
    <w:abstractNumId w:val="4"/>
  </w:num>
  <w:num w:numId="5" w16cid:durableId="916478285">
    <w:abstractNumId w:val="1"/>
  </w:num>
  <w:num w:numId="6" w16cid:durableId="19170105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8673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D89"/>
    <w:rsid w:val="000A10EB"/>
    <w:rsid w:val="000B755F"/>
    <w:rsid w:val="000F2678"/>
    <w:rsid w:val="00106803"/>
    <w:rsid w:val="001435B3"/>
    <w:rsid w:val="001A7D26"/>
    <w:rsid w:val="00243007"/>
    <w:rsid w:val="00247391"/>
    <w:rsid w:val="0026526C"/>
    <w:rsid w:val="00314946"/>
    <w:rsid w:val="00346178"/>
    <w:rsid w:val="00396425"/>
    <w:rsid w:val="00396FF2"/>
    <w:rsid w:val="003A304D"/>
    <w:rsid w:val="003D4136"/>
    <w:rsid w:val="003F68AF"/>
    <w:rsid w:val="0047576A"/>
    <w:rsid w:val="004851AE"/>
    <w:rsid w:val="004C1725"/>
    <w:rsid w:val="004E7DE0"/>
    <w:rsid w:val="004F754A"/>
    <w:rsid w:val="00503A21"/>
    <w:rsid w:val="0053249F"/>
    <w:rsid w:val="00552C92"/>
    <w:rsid w:val="00556765"/>
    <w:rsid w:val="0056229F"/>
    <w:rsid w:val="005A2B21"/>
    <w:rsid w:val="005C05AE"/>
    <w:rsid w:val="005F0755"/>
    <w:rsid w:val="00602D89"/>
    <w:rsid w:val="00605B9C"/>
    <w:rsid w:val="0061104A"/>
    <w:rsid w:val="00667049"/>
    <w:rsid w:val="006F3D31"/>
    <w:rsid w:val="007168FC"/>
    <w:rsid w:val="00721441"/>
    <w:rsid w:val="00776370"/>
    <w:rsid w:val="00797551"/>
    <w:rsid w:val="00797B83"/>
    <w:rsid w:val="007B14D3"/>
    <w:rsid w:val="007F03F4"/>
    <w:rsid w:val="007F3C4C"/>
    <w:rsid w:val="007F5D9C"/>
    <w:rsid w:val="0081145E"/>
    <w:rsid w:val="008165A9"/>
    <w:rsid w:val="00881769"/>
    <w:rsid w:val="00913CE5"/>
    <w:rsid w:val="00941A16"/>
    <w:rsid w:val="0098369D"/>
    <w:rsid w:val="009A57AC"/>
    <w:rsid w:val="009E7A69"/>
    <w:rsid w:val="00A53D32"/>
    <w:rsid w:val="00A71FED"/>
    <w:rsid w:val="00AF34BF"/>
    <w:rsid w:val="00B2344E"/>
    <w:rsid w:val="00B51A09"/>
    <w:rsid w:val="00BD59D9"/>
    <w:rsid w:val="00C8235D"/>
    <w:rsid w:val="00CB78AF"/>
    <w:rsid w:val="00CE6EBD"/>
    <w:rsid w:val="00CF6990"/>
    <w:rsid w:val="00D544AB"/>
    <w:rsid w:val="00D66E34"/>
    <w:rsid w:val="00DB0E0E"/>
    <w:rsid w:val="00DD65C3"/>
    <w:rsid w:val="00E2714B"/>
    <w:rsid w:val="00F43269"/>
    <w:rsid w:val="00F6792E"/>
    <w:rsid w:val="00FC6ACA"/>
    <w:rsid w:val="00FE6A81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o:colormenu v:ext="edit" fillcolor="none"/>
    </o:shapedefaults>
    <o:shapelayout v:ext="edit">
      <o:idmap v:ext="edit" data="1"/>
    </o:shapelayout>
  </w:shapeDefaults>
  <w:decimalSymbol w:val="."/>
  <w:listSeparator w:val=","/>
  <w14:docId w14:val="659095A5"/>
  <w15:docId w15:val="{0D011794-F3EC-406D-A12B-5D367ADF4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7DE0"/>
    <w:pPr>
      <w:overflowPunct w:val="0"/>
      <w:autoSpaceDE w:val="0"/>
      <w:autoSpaceDN w:val="0"/>
      <w:adjustRightInd w:val="0"/>
      <w:textAlignment w:val="baseline"/>
    </w:pPr>
    <w:rPr>
      <w:rFonts w:ascii="Verdana" w:eastAsia="Times New Roman" w:hAnsi="Verdana"/>
      <w:lang w:val="en-US"/>
    </w:rPr>
  </w:style>
  <w:style w:type="paragraph" w:styleId="Heading1">
    <w:name w:val="heading 1"/>
    <w:basedOn w:val="Normal"/>
    <w:next w:val="Normal"/>
    <w:link w:val="Heading1Char"/>
    <w:qFormat/>
    <w:rsid w:val="004E7DE0"/>
    <w:pPr>
      <w:keepNext/>
      <w:outlineLvl w:val="0"/>
    </w:pPr>
    <w:rPr>
      <w:b/>
      <w:sz w:val="36"/>
    </w:rPr>
  </w:style>
  <w:style w:type="paragraph" w:styleId="Heading3">
    <w:name w:val="heading 3"/>
    <w:basedOn w:val="Normal"/>
    <w:next w:val="Normal"/>
    <w:link w:val="Heading3Char"/>
    <w:qFormat/>
    <w:rsid w:val="004E7DE0"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4E7DE0"/>
    <w:pPr>
      <w:keepNext/>
      <w:jc w:val="center"/>
      <w:outlineLvl w:val="3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02D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2D89"/>
    <w:rPr>
      <w:sz w:val="24"/>
      <w:szCs w:val="24"/>
      <w:lang w:eastAsia="ja-JP"/>
    </w:rPr>
  </w:style>
  <w:style w:type="paragraph" w:styleId="Footer">
    <w:name w:val="footer"/>
    <w:basedOn w:val="Normal"/>
    <w:link w:val="FooterChar"/>
    <w:rsid w:val="00602D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02D89"/>
    <w:rPr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rsid w:val="00602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D89"/>
    <w:rPr>
      <w:rFonts w:ascii="Tahoma" w:hAnsi="Tahoma" w:cs="Tahoma"/>
      <w:sz w:val="16"/>
      <w:szCs w:val="16"/>
      <w:lang w:eastAsia="ja-JP"/>
    </w:rPr>
  </w:style>
  <w:style w:type="character" w:customStyle="1" w:styleId="Heading1Char">
    <w:name w:val="Heading 1 Char"/>
    <w:basedOn w:val="DefaultParagraphFont"/>
    <w:link w:val="Heading1"/>
    <w:rsid w:val="004E7DE0"/>
    <w:rPr>
      <w:rFonts w:ascii="Verdana" w:eastAsia="Times New Roman" w:hAnsi="Verdana"/>
      <w:b/>
      <w:sz w:val="36"/>
      <w:lang w:val="en-US"/>
    </w:rPr>
  </w:style>
  <w:style w:type="character" w:customStyle="1" w:styleId="Heading3Char">
    <w:name w:val="Heading 3 Char"/>
    <w:basedOn w:val="DefaultParagraphFont"/>
    <w:link w:val="Heading3"/>
    <w:rsid w:val="004E7DE0"/>
    <w:rPr>
      <w:rFonts w:ascii="Verdana" w:eastAsia="Times New Roman" w:hAnsi="Verdana"/>
      <w:b/>
      <w:lang w:val="en-US"/>
    </w:rPr>
  </w:style>
  <w:style w:type="character" w:customStyle="1" w:styleId="Heading4Char">
    <w:name w:val="Heading 4 Char"/>
    <w:basedOn w:val="DefaultParagraphFont"/>
    <w:link w:val="Heading4"/>
    <w:rsid w:val="004E7DE0"/>
    <w:rPr>
      <w:rFonts w:ascii="Verdana" w:eastAsia="Times New Roman" w:hAnsi="Verdana"/>
      <w:b/>
      <w:sz w:val="24"/>
      <w:lang w:val="en-US"/>
    </w:rPr>
  </w:style>
  <w:style w:type="paragraph" w:styleId="BodyText">
    <w:name w:val="Body Text"/>
    <w:basedOn w:val="Normal"/>
    <w:link w:val="BodyTextChar"/>
    <w:rsid w:val="004E7DE0"/>
    <w:rPr>
      <w:b/>
    </w:rPr>
  </w:style>
  <w:style w:type="character" w:customStyle="1" w:styleId="BodyTextChar">
    <w:name w:val="Body Text Char"/>
    <w:basedOn w:val="DefaultParagraphFont"/>
    <w:link w:val="BodyText"/>
    <w:rsid w:val="004E7DE0"/>
    <w:rPr>
      <w:rFonts w:ascii="Verdana" w:eastAsia="Times New Roman" w:hAnsi="Verdana"/>
      <w:b/>
      <w:lang w:val="en-US"/>
    </w:rPr>
  </w:style>
  <w:style w:type="paragraph" w:styleId="BodyText2">
    <w:name w:val="Body Text 2"/>
    <w:basedOn w:val="Normal"/>
    <w:link w:val="BodyText2Char"/>
    <w:rsid w:val="004E7DE0"/>
    <w:pPr>
      <w:jc w:val="center"/>
    </w:pPr>
    <w:rPr>
      <w:bCs/>
      <w:sz w:val="16"/>
    </w:rPr>
  </w:style>
  <w:style w:type="character" w:customStyle="1" w:styleId="BodyText2Char">
    <w:name w:val="Body Text 2 Char"/>
    <w:basedOn w:val="DefaultParagraphFont"/>
    <w:link w:val="BodyText2"/>
    <w:rsid w:val="004E7DE0"/>
    <w:rPr>
      <w:rFonts w:ascii="Verdana" w:eastAsia="Times New Roman" w:hAnsi="Verdana"/>
      <w:bCs/>
      <w:sz w:val="16"/>
      <w:lang w:val="en-US"/>
    </w:rPr>
  </w:style>
  <w:style w:type="character" w:styleId="PageNumber">
    <w:name w:val="page number"/>
    <w:basedOn w:val="DefaultParagraphFont"/>
    <w:rsid w:val="004E7DE0"/>
  </w:style>
  <w:style w:type="character" w:styleId="CommentReference">
    <w:name w:val="annotation reference"/>
    <w:basedOn w:val="DefaultParagraphFont"/>
    <w:rsid w:val="003A30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3A304D"/>
  </w:style>
  <w:style w:type="character" w:customStyle="1" w:styleId="CommentTextChar">
    <w:name w:val="Comment Text Char"/>
    <w:basedOn w:val="DefaultParagraphFont"/>
    <w:link w:val="CommentText"/>
    <w:rsid w:val="003A304D"/>
    <w:rPr>
      <w:rFonts w:ascii="Verdana" w:eastAsia="Times New Roman" w:hAnsi="Verdana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3A30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A304D"/>
    <w:rPr>
      <w:rFonts w:ascii="Verdana" w:eastAsia="Times New Roman" w:hAnsi="Verdana"/>
      <w:b/>
      <w:bCs/>
      <w:lang w:val="en-US"/>
    </w:rPr>
  </w:style>
  <w:style w:type="character" w:customStyle="1" w:styleId="wacimagecontainer">
    <w:name w:val="wacimagecontainer"/>
    <w:basedOn w:val="DefaultParagraphFont"/>
    <w:rsid w:val="00913CE5"/>
  </w:style>
  <w:style w:type="table" w:styleId="TableGrid">
    <w:name w:val="Table Grid"/>
    <w:basedOn w:val="TableNormal"/>
    <w:rsid w:val="00CB78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49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154CC-15A5-4DC9-88E7-7ED45B739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UHCW NHS Trust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Sutclil</dc:creator>
  <cp:lastModifiedBy>Fitzhugh Elizabeth (RKB) Clinical Lead Net Zero</cp:lastModifiedBy>
  <cp:revision>3</cp:revision>
  <cp:lastPrinted>2018-02-08T09:59:00Z</cp:lastPrinted>
  <dcterms:created xsi:type="dcterms:W3CDTF">2024-11-12T11:11:00Z</dcterms:created>
  <dcterms:modified xsi:type="dcterms:W3CDTF">2024-11-12T11:12:00Z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977535310</vt:i4>
  </property>
  <property fmtid="{D5CDD505-2E9C-101B-9397-08002B2CF9AE}" pid="3" name="_NewReviewCycle">
    <vt:lpwstr/>
  </property>
  <property fmtid="{D5CDD505-2E9C-101B-9397-08002B2CF9AE}" pid="4" name="_EmailSubject">
    <vt:lpwstr>Reusable TQs</vt:lpwstr>
  </property>
  <property fmtid="{D5CDD505-2E9C-101B-9397-08002B2CF9AE}" pid="5" name="_AuthorEmail">
    <vt:lpwstr>Elizabeth.Fitzhugh@uhcw.nhs.uk</vt:lpwstr>
  </property>
  <property fmtid="{D5CDD505-2E9C-101B-9397-08002B2CF9AE}" pid="6" name="_AuthorEmailDisplayName">
    <vt:lpwstr>Fitzhugh Elizabeth (RKB) Clinical Lead Net Zero</vt:lpwstr>
  </property>
  <property fmtid="{D5CDD505-2E9C-101B-9397-08002B2CF9AE}" pid="8" name="_PreviousAdHocReviewCycleID">
    <vt:i4>-1851152360</vt:i4>
  </property>
</Properties>
</file>