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D0AD4" w14:textId="77777777" w:rsidR="00E51BE7" w:rsidRDefault="00E51BE7" w:rsidP="006D7EE2">
      <w:pPr>
        <w:spacing w:before="120" w:after="120"/>
        <w:ind w:left="1440" w:firstLine="720"/>
        <w:rPr>
          <w:rFonts w:asciiTheme="majorHAnsi" w:hAnsiTheme="majorHAnsi"/>
          <w:b/>
          <w:sz w:val="28"/>
          <w:szCs w:val="28"/>
        </w:rPr>
      </w:pPr>
    </w:p>
    <w:p w14:paraId="6452C78F" w14:textId="36A12C89" w:rsidR="001B364C" w:rsidRDefault="000A3C4C" w:rsidP="00475C20">
      <w:pPr>
        <w:spacing w:after="120"/>
        <w:jc w:val="center"/>
        <w:rPr>
          <w:rFonts w:asciiTheme="majorHAnsi" w:hAnsiTheme="majorHAnsi"/>
          <w:b/>
          <w:sz w:val="28"/>
          <w:szCs w:val="28"/>
        </w:rPr>
      </w:pPr>
      <w:r w:rsidRPr="00E51BE7">
        <w:rPr>
          <w:rFonts w:asciiTheme="majorHAnsi" w:hAnsiTheme="majorHAnsi"/>
          <w:b/>
          <w:sz w:val="28"/>
          <w:szCs w:val="28"/>
        </w:rPr>
        <w:t>Sustainability</w:t>
      </w:r>
      <w:r w:rsidR="004C4071" w:rsidRPr="00E51BE7">
        <w:rPr>
          <w:rFonts w:asciiTheme="majorHAnsi" w:hAnsiTheme="majorHAnsi"/>
          <w:b/>
          <w:sz w:val="28"/>
          <w:szCs w:val="28"/>
        </w:rPr>
        <w:t xml:space="preserve"> Scholars Programme</w:t>
      </w:r>
    </w:p>
    <w:p w14:paraId="1004E9B1" w14:textId="0BB99EBB" w:rsidR="001B364C" w:rsidRPr="001B364C" w:rsidRDefault="001B364C" w:rsidP="00475C20">
      <w:pPr>
        <w:spacing w:after="120"/>
        <w:jc w:val="center"/>
        <w:rPr>
          <w:rFonts w:asciiTheme="majorHAnsi" w:hAnsiTheme="majorHAnsi"/>
          <w:b/>
          <w:i/>
        </w:rPr>
      </w:pPr>
      <w:r w:rsidRPr="001B364C">
        <w:rPr>
          <w:rFonts w:asciiTheme="majorHAnsi" w:hAnsiTheme="majorHAnsi"/>
          <w:b/>
          <w:i/>
        </w:rPr>
        <w:t>for</w:t>
      </w:r>
    </w:p>
    <w:p w14:paraId="3E8414B6" w14:textId="184E8E9A" w:rsidR="000A3C4C" w:rsidRDefault="001B364C" w:rsidP="00475C20">
      <w:pPr>
        <w:spacing w:after="120"/>
        <w:jc w:val="center"/>
        <w:rPr>
          <w:rFonts w:asciiTheme="majorHAnsi" w:hAnsiTheme="majorHAnsi"/>
          <w:b/>
          <w:sz w:val="28"/>
          <w:szCs w:val="28"/>
        </w:rPr>
      </w:pPr>
      <w:r>
        <w:rPr>
          <w:rFonts w:asciiTheme="majorHAnsi" w:hAnsiTheme="majorHAnsi"/>
          <w:b/>
          <w:sz w:val="28"/>
          <w:szCs w:val="28"/>
        </w:rPr>
        <w:t>Clinical Commissioning Groups</w:t>
      </w:r>
      <w:r w:rsidR="00CD2764">
        <w:rPr>
          <w:rFonts w:asciiTheme="majorHAnsi" w:hAnsiTheme="majorHAnsi"/>
          <w:b/>
          <w:sz w:val="28"/>
          <w:szCs w:val="28"/>
        </w:rPr>
        <w:t xml:space="preserve"> (CCGs)</w:t>
      </w:r>
    </w:p>
    <w:p w14:paraId="5A0F0527" w14:textId="77777777" w:rsidR="001B364C" w:rsidRPr="00E51BE7" w:rsidRDefault="001B364C" w:rsidP="001B364C">
      <w:pPr>
        <w:spacing w:after="120"/>
        <w:ind w:left="1440" w:firstLine="720"/>
        <w:rPr>
          <w:rFonts w:asciiTheme="majorHAnsi" w:hAnsiTheme="majorHAnsi"/>
          <w:b/>
          <w:sz w:val="28"/>
          <w:szCs w:val="28"/>
        </w:rPr>
      </w:pPr>
    </w:p>
    <w:p w14:paraId="66A1CE49" w14:textId="764E25DB" w:rsidR="00CC3942" w:rsidRPr="009D3493" w:rsidRDefault="00CC3942" w:rsidP="00743FE6">
      <w:pPr>
        <w:jc w:val="center"/>
        <w:rPr>
          <w:rFonts w:asciiTheme="majorHAnsi" w:hAnsiTheme="majorHAnsi" w:cs="Times New Roman"/>
          <w:color w:val="2F5496" w:themeColor="accent5" w:themeShade="BF"/>
          <w:sz w:val="22"/>
          <w:szCs w:val="22"/>
        </w:rPr>
      </w:pPr>
      <w:r w:rsidRPr="009D3493">
        <w:rPr>
          <w:rFonts w:asciiTheme="majorHAnsi" w:hAnsiTheme="majorHAnsi" w:cs="Times New Roman"/>
          <w:color w:val="2F5496" w:themeColor="accent5" w:themeShade="BF"/>
          <w:sz w:val="22"/>
          <w:szCs w:val="22"/>
          <w:lang w:val="en-US"/>
        </w:rPr>
        <w:t xml:space="preserve">“For many </w:t>
      </w:r>
      <w:proofErr w:type="gramStart"/>
      <w:r w:rsidRPr="009D3493">
        <w:rPr>
          <w:rFonts w:asciiTheme="majorHAnsi" w:hAnsiTheme="majorHAnsi" w:cs="Times New Roman"/>
          <w:color w:val="2F5496" w:themeColor="accent5" w:themeShade="BF"/>
          <w:sz w:val="22"/>
          <w:szCs w:val="22"/>
          <w:lang w:val="en-US"/>
        </w:rPr>
        <w:t>years</w:t>
      </w:r>
      <w:proofErr w:type="gramEnd"/>
      <w:r w:rsidRPr="009D3493">
        <w:rPr>
          <w:rFonts w:asciiTheme="majorHAnsi" w:hAnsiTheme="majorHAnsi" w:cs="Times New Roman"/>
          <w:color w:val="2F5496" w:themeColor="accent5" w:themeShade="BF"/>
          <w:sz w:val="22"/>
          <w:szCs w:val="22"/>
          <w:lang w:val="en-US"/>
        </w:rPr>
        <w:t xml:space="preserve"> debate has focused on whether our climate is changing. Today the question is no longer whether the climate is</w:t>
      </w:r>
      <w:r w:rsidR="009259E0" w:rsidRPr="009D3493">
        <w:rPr>
          <w:rFonts w:asciiTheme="majorHAnsi" w:hAnsiTheme="majorHAnsi" w:cs="Times New Roman"/>
          <w:color w:val="2F5496" w:themeColor="accent5" w:themeShade="BF"/>
          <w:sz w:val="22"/>
          <w:szCs w:val="22"/>
          <w:lang w:val="en-US"/>
        </w:rPr>
        <w:t xml:space="preserve"> changing, but what can be done</w:t>
      </w:r>
      <w:r w:rsidRPr="009D3493">
        <w:rPr>
          <w:rFonts w:asciiTheme="majorHAnsi" w:hAnsiTheme="majorHAnsi" w:cs="Times New Roman"/>
          <w:color w:val="2F5496" w:themeColor="accent5" w:themeShade="BF"/>
          <w:sz w:val="22"/>
          <w:szCs w:val="22"/>
          <w:lang w:val="en-US"/>
        </w:rPr>
        <w:t>”</w:t>
      </w:r>
      <w:r w:rsidR="006D3942" w:rsidRPr="009D3493">
        <w:rPr>
          <w:rStyle w:val="FootnoteReference"/>
          <w:rFonts w:asciiTheme="majorHAnsi" w:hAnsiTheme="majorHAnsi" w:cs="Arial"/>
          <w:b/>
          <w:sz w:val="22"/>
          <w:szCs w:val="22"/>
        </w:rPr>
        <w:t xml:space="preserve"> </w:t>
      </w:r>
      <w:r w:rsidR="006D3942" w:rsidRPr="009D3493">
        <w:rPr>
          <w:rStyle w:val="FootnoteReference"/>
          <w:rFonts w:asciiTheme="majorHAnsi" w:hAnsiTheme="majorHAnsi" w:cs="Arial"/>
          <w:b/>
          <w:sz w:val="22"/>
          <w:szCs w:val="22"/>
        </w:rPr>
        <w:footnoteReference w:id="1"/>
      </w:r>
      <w:r w:rsidR="009A05E9" w:rsidRPr="009D3493">
        <w:rPr>
          <w:rFonts w:asciiTheme="majorHAnsi" w:hAnsiTheme="majorHAnsi" w:cs="Times New Roman"/>
          <w:color w:val="2F5496" w:themeColor="accent5" w:themeShade="BF"/>
          <w:sz w:val="22"/>
          <w:szCs w:val="22"/>
          <w:lang w:val="en-US"/>
        </w:rPr>
        <w:t xml:space="preserve"> (</w:t>
      </w:r>
      <w:r w:rsidR="002C7FE5" w:rsidRPr="009D3493">
        <w:rPr>
          <w:rFonts w:asciiTheme="majorHAnsi" w:hAnsiTheme="majorHAnsi" w:cs="Times New Roman"/>
          <w:i/>
          <w:color w:val="2F5496" w:themeColor="accent5" w:themeShade="BF"/>
          <w:sz w:val="18"/>
          <w:szCs w:val="18"/>
          <w:lang w:val="en-US"/>
        </w:rPr>
        <w:t>Health Protection Agency</w:t>
      </w:r>
      <w:r w:rsidR="002C7FE5" w:rsidRPr="009D3493">
        <w:rPr>
          <w:rFonts w:asciiTheme="majorHAnsi" w:hAnsiTheme="majorHAnsi" w:cs="Times New Roman"/>
          <w:color w:val="2F5496" w:themeColor="accent5" w:themeShade="BF"/>
          <w:sz w:val="22"/>
          <w:szCs w:val="22"/>
          <w:lang w:val="en-US"/>
        </w:rPr>
        <w:t>)</w:t>
      </w:r>
    </w:p>
    <w:p w14:paraId="6873C539" w14:textId="77777777" w:rsidR="00CC3942" w:rsidRPr="00743FE6" w:rsidRDefault="00CC3942" w:rsidP="00743FE6">
      <w:pPr>
        <w:jc w:val="center"/>
        <w:rPr>
          <w:rFonts w:cs="Times New Roman"/>
          <w:color w:val="2F5496" w:themeColor="accent5" w:themeShade="BF"/>
          <w:sz w:val="22"/>
          <w:szCs w:val="22"/>
          <w:lang w:val="en-US"/>
        </w:rPr>
      </w:pPr>
    </w:p>
    <w:p w14:paraId="703283D5" w14:textId="60EC0BF5" w:rsidR="001A1ABC" w:rsidRPr="00E51BE7" w:rsidRDefault="00842794" w:rsidP="00037636">
      <w:pPr>
        <w:spacing w:before="120" w:after="120"/>
        <w:jc w:val="both"/>
        <w:rPr>
          <w:rFonts w:asciiTheme="majorHAnsi" w:hAnsiTheme="majorHAnsi" w:cs="Arial"/>
          <w:b/>
        </w:rPr>
      </w:pPr>
      <w:r w:rsidRPr="00E51BE7">
        <w:rPr>
          <w:rFonts w:asciiTheme="majorHAnsi" w:hAnsiTheme="majorHAnsi" w:cs="Arial"/>
          <w:b/>
        </w:rPr>
        <w:t xml:space="preserve">Introduction </w:t>
      </w:r>
    </w:p>
    <w:p w14:paraId="0EFD5640" w14:textId="1039FCCF" w:rsidR="001B364C" w:rsidRDefault="001B364C" w:rsidP="00743FE6">
      <w:pPr>
        <w:spacing w:before="240" w:after="120"/>
        <w:jc w:val="both"/>
        <w:rPr>
          <w:rFonts w:cs="Arial"/>
          <w:sz w:val="22"/>
          <w:szCs w:val="22"/>
        </w:rPr>
      </w:pPr>
      <w:r>
        <w:rPr>
          <w:rFonts w:cs="Arial"/>
          <w:sz w:val="22"/>
          <w:szCs w:val="22"/>
        </w:rPr>
        <w:t>Healthcare is</w:t>
      </w:r>
      <w:r w:rsidR="00835980" w:rsidRPr="00743FE6">
        <w:rPr>
          <w:rFonts w:cs="Arial"/>
          <w:sz w:val="22"/>
          <w:szCs w:val="22"/>
        </w:rPr>
        <w:t xml:space="preserve"> facing a challenging future. </w:t>
      </w:r>
      <w:r w:rsidR="008E3CF8" w:rsidRPr="00743FE6">
        <w:rPr>
          <w:rFonts w:cs="Arial"/>
          <w:sz w:val="22"/>
          <w:szCs w:val="22"/>
        </w:rPr>
        <w:t>The quality of healthcare must be maintained when f</w:t>
      </w:r>
      <w:r>
        <w:rPr>
          <w:rFonts w:cs="Arial"/>
          <w:sz w:val="22"/>
          <w:szCs w:val="22"/>
        </w:rPr>
        <w:t xml:space="preserve">inances are constrained, </w:t>
      </w:r>
      <w:r w:rsidR="00767D52" w:rsidRPr="00743FE6">
        <w:rPr>
          <w:rFonts w:cs="Arial"/>
          <w:sz w:val="22"/>
          <w:szCs w:val="22"/>
        </w:rPr>
        <w:t>resources fin</w:t>
      </w:r>
      <w:r w:rsidR="00835980" w:rsidRPr="00743FE6">
        <w:rPr>
          <w:rFonts w:cs="Arial"/>
          <w:sz w:val="22"/>
          <w:szCs w:val="22"/>
        </w:rPr>
        <w:t>ite</w:t>
      </w:r>
      <w:r>
        <w:rPr>
          <w:rFonts w:cs="Arial"/>
          <w:sz w:val="22"/>
          <w:szCs w:val="22"/>
        </w:rPr>
        <w:t xml:space="preserve"> and staff increasingly overstretched </w:t>
      </w:r>
      <w:r w:rsidR="00496ADC">
        <w:rPr>
          <w:rFonts w:cs="Arial"/>
          <w:sz w:val="22"/>
          <w:szCs w:val="22"/>
        </w:rPr>
        <w:t>and demoralized</w:t>
      </w:r>
      <w:r w:rsidR="00835980" w:rsidRPr="00743FE6">
        <w:rPr>
          <w:rFonts w:cs="Arial"/>
          <w:sz w:val="22"/>
          <w:szCs w:val="22"/>
        </w:rPr>
        <w:t>.</w:t>
      </w:r>
      <w:r w:rsidR="004B68E0" w:rsidRPr="00743FE6">
        <w:rPr>
          <w:rFonts w:cs="Arial"/>
          <w:sz w:val="22"/>
          <w:szCs w:val="22"/>
        </w:rPr>
        <w:t xml:space="preserve"> </w:t>
      </w:r>
      <w:r w:rsidR="00406DA0" w:rsidRPr="00743FE6">
        <w:rPr>
          <w:rFonts w:cs="Arial"/>
          <w:sz w:val="22"/>
          <w:szCs w:val="22"/>
        </w:rPr>
        <w:t xml:space="preserve">How to respond to these challenges in the face of </w:t>
      </w:r>
      <w:r w:rsidR="00951713">
        <w:rPr>
          <w:rFonts w:cs="Arial"/>
          <w:sz w:val="22"/>
          <w:szCs w:val="22"/>
        </w:rPr>
        <w:t>i</w:t>
      </w:r>
      <w:r w:rsidR="00767D52" w:rsidRPr="00743FE6">
        <w:rPr>
          <w:rFonts w:cs="Arial"/>
          <w:sz w:val="22"/>
          <w:szCs w:val="22"/>
        </w:rPr>
        <w:t>ncreasing demand for healthcare and the rising threat that climate change poses to health</w:t>
      </w:r>
      <w:r w:rsidR="00CD2764">
        <w:rPr>
          <w:rFonts w:cs="Arial"/>
          <w:sz w:val="22"/>
          <w:szCs w:val="22"/>
        </w:rPr>
        <w:t>?</w:t>
      </w:r>
    </w:p>
    <w:p w14:paraId="21338565" w14:textId="2613F6C8" w:rsidR="00DD19D4" w:rsidRDefault="00125D04" w:rsidP="00743FE6">
      <w:pPr>
        <w:spacing w:before="240" w:after="120"/>
        <w:jc w:val="both"/>
        <w:rPr>
          <w:sz w:val="22"/>
          <w:szCs w:val="22"/>
        </w:rPr>
      </w:pPr>
      <w:r>
        <w:rPr>
          <w:rFonts w:cs="Arial"/>
          <w:sz w:val="22"/>
          <w:szCs w:val="22"/>
        </w:rPr>
        <w:t xml:space="preserve">The </w:t>
      </w:r>
      <w:r w:rsidR="00713D05" w:rsidRPr="00743FE6">
        <w:rPr>
          <w:rFonts w:cs="Arial"/>
          <w:sz w:val="22"/>
          <w:szCs w:val="22"/>
        </w:rPr>
        <w:t>Centre for Sustainable Healthcare</w:t>
      </w:r>
      <w:r w:rsidR="00D45521" w:rsidRPr="00743FE6">
        <w:rPr>
          <w:rFonts w:cs="Arial"/>
          <w:sz w:val="22"/>
          <w:szCs w:val="22"/>
        </w:rPr>
        <w:t xml:space="preserve"> (CSH)</w:t>
      </w:r>
      <w:r w:rsidR="00436550">
        <w:rPr>
          <w:rFonts w:cs="Arial"/>
          <w:sz w:val="22"/>
          <w:szCs w:val="22"/>
        </w:rPr>
        <w:t xml:space="preserve"> </w:t>
      </w:r>
      <w:r w:rsidR="00496ADC">
        <w:rPr>
          <w:rFonts w:cs="Arial"/>
          <w:sz w:val="22"/>
          <w:szCs w:val="22"/>
        </w:rPr>
        <w:t>offer</w:t>
      </w:r>
      <w:r w:rsidR="00436550">
        <w:rPr>
          <w:rFonts w:cs="Arial"/>
          <w:sz w:val="22"/>
          <w:szCs w:val="22"/>
        </w:rPr>
        <w:t xml:space="preserve">s a </w:t>
      </w:r>
      <w:r w:rsidR="00365EA0">
        <w:rPr>
          <w:rFonts w:cs="Arial"/>
          <w:sz w:val="22"/>
          <w:szCs w:val="22"/>
        </w:rPr>
        <w:t xml:space="preserve">CCG </w:t>
      </w:r>
      <w:r w:rsidR="00BD58E8">
        <w:rPr>
          <w:rFonts w:cs="Arial"/>
          <w:sz w:val="22"/>
          <w:szCs w:val="22"/>
        </w:rPr>
        <w:t>Sustainability</w:t>
      </w:r>
      <w:r w:rsidR="00436550">
        <w:rPr>
          <w:rFonts w:cs="Arial"/>
          <w:sz w:val="22"/>
          <w:szCs w:val="22"/>
        </w:rPr>
        <w:t xml:space="preserve"> Scholars P</w:t>
      </w:r>
      <w:r w:rsidR="00713D05" w:rsidRPr="00743FE6">
        <w:rPr>
          <w:rFonts w:cs="Arial"/>
          <w:sz w:val="22"/>
          <w:szCs w:val="22"/>
        </w:rPr>
        <w:t>rogramme</w:t>
      </w:r>
      <w:r w:rsidR="00496ADC">
        <w:rPr>
          <w:rFonts w:cs="Arial"/>
          <w:sz w:val="22"/>
          <w:szCs w:val="22"/>
        </w:rPr>
        <w:t>, in partnership with CCGs</w:t>
      </w:r>
      <w:r w:rsidR="00D45521" w:rsidRPr="00743FE6">
        <w:rPr>
          <w:rFonts w:cs="Arial"/>
          <w:sz w:val="22"/>
          <w:szCs w:val="22"/>
        </w:rPr>
        <w:t>.</w:t>
      </w:r>
      <w:r w:rsidR="00D45521" w:rsidRPr="00743FE6">
        <w:rPr>
          <w:sz w:val="22"/>
          <w:szCs w:val="22"/>
        </w:rPr>
        <w:t xml:space="preserve"> Thi</w:t>
      </w:r>
      <w:r w:rsidR="00BD58E8">
        <w:rPr>
          <w:sz w:val="22"/>
          <w:szCs w:val="22"/>
        </w:rPr>
        <w:t>s provides an opportunity for</w:t>
      </w:r>
      <w:r w:rsidR="00D45521" w:rsidRPr="00743FE6">
        <w:rPr>
          <w:sz w:val="22"/>
          <w:szCs w:val="22"/>
        </w:rPr>
        <w:t xml:space="preserve"> </w:t>
      </w:r>
      <w:r w:rsidR="00CD2764">
        <w:rPr>
          <w:sz w:val="22"/>
          <w:szCs w:val="22"/>
        </w:rPr>
        <w:t xml:space="preserve">CCGs to improve the sustainability of their commissioning and models of care, whilst </w:t>
      </w:r>
      <w:r w:rsidR="008149A1">
        <w:rPr>
          <w:sz w:val="22"/>
          <w:szCs w:val="22"/>
        </w:rPr>
        <w:t>individuals from</w:t>
      </w:r>
      <w:r w:rsidR="002C510C">
        <w:rPr>
          <w:sz w:val="22"/>
          <w:szCs w:val="22"/>
        </w:rPr>
        <w:t xml:space="preserve"> any</w:t>
      </w:r>
      <w:r w:rsidR="00BD58E8">
        <w:rPr>
          <w:sz w:val="22"/>
          <w:szCs w:val="22"/>
        </w:rPr>
        <w:t xml:space="preserve"> special</w:t>
      </w:r>
      <w:r w:rsidR="002C510C">
        <w:rPr>
          <w:sz w:val="22"/>
          <w:szCs w:val="22"/>
        </w:rPr>
        <w:t>ty</w:t>
      </w:r>
      <w:r w:rsidR="00BD58E8">
        <w:rPr>
          <w:sz w:val="22"/>
          <w:szCs w:val="22"/>
        </w:rPr>
        <w:t xml:space="preserve"> </w:t>
      </w:r>
      <w:r w:rsidR="002C510C">
        <w:rPr>
          <w:sz w:val="22"/>
          <w:szCs w:val="22"/>
        </w:rPr>
        <w:t>or</w:t>
      </w:r>
      <w:r w:rsidR="00BD58E8">
        <w:rPr>
          <w:sz w:val="22"/>
          <w:szCs w:val="22"/>
        </w:rPr>
        <w:t xml:space="preserve"> </w:t>
      </w:r>
      <w:r w:rsidR="00CD2764">
        <w:rPr>
          <w:sz w:val="22"/>
          <w:szCs w:val="22"/>
        </w:rPr>
        <w:t xml:space="preserve">health </w:t>
      </w:r>
      <w:r w:rsidR="00BD58E8">
        <w:rPr>
          <w:sz w:val="22"/>
          <w:szCs w:val="22"/>
        </w:rPr>
        <w:t xml:space="preserve">profession </w:t>
      </w:r>
      <w:r w:rsidR="00D45521" w:rsidRPr="00743FE6">
        <w:rPr>
          <w:sz w:val="22"/>
          <w:szCs w:val="22"/>
        </w:rPr>
        <w:t xml:space="preserve">gain experience in </w:t>
      </w:r>
      <w:r w:rsidR="007D0FA8" w:rsidRPr="00743FE6">
        <w:rPr>
          <w:sz w:val="22"/>
          <w:szCs w:val="22"/>
        </w:rPr>
        <w:t xml:space="preserve">driving </w:t>
      </w:r>
      <w:r w:rsidR="002F6E83" w:rsidRPr="00743FE6">
        <w:rPr>
          <w:sz w:val="22"/>
          <w:szCs w:val="22"/>
        </w:rPr>
        <w:t xml:space="preserve">change to improve quality </w:t>
      </w:r>
      <w:r w:rsidR="007D0FA8" w:rsidRPr="00743FE6">
        <w:rPr>
          <w:sz w:val="22"/>
          <w:szCs w:val="22"/>
        </w:rPr>
        <w:t>within the healthcare system</w:t>
      </w:r>
      <w:r w:rsidR="00A36D45" w:rsidRPr="00743FE6">
        <w:rPr>
          <w:sz w:val="22"/>
          <w:szCs w:val="22"/>
        </w:rPr>
        <w:t xml:space="preserve"> that </w:t>
      </w:r>
      <w:r w:rsidR="003B3D1D" w:rsidRPr="00743FE6">
        <w:rPr>
          <w:sz w:val="22"/>
          <w:szCs w:val="22"/>
        </w:rPr>
        <w:t>deals with not only financial but also environmental and social concerns</w:t>
      </w:r>
      <w:r w:rsidR="002F6E83" w:rsidRPr="00743FE6">
        <w:rPr>
          <w:sz w:val="22"/>
          <w:szCs w:val="22"/>
        </w:rPr>
        <w:t xml:space="preserve"> </w:t>
      </w:r>
      <w:r w:rsidR="00CF7B98" w:rsidRPr="00743FE6">
        <w:rPr>
          <w:sz w:val="22"/>
          <w:szCs w:val="22"/>
        </w:rPr>
        <w:t>meanwhile cultivating</w:t>
      </w:r>
      <w:r w:rsidR="00A3604B" w:rsidRPr="00743FE6">
        <w:rPr>
          <w:sz w:val="22"/>
          <w:szCs w:val="22"/>
        </w:rPr>
        <w:t xml:space="preserve"> </w:t>
      </w:r>
      <w:r w:rsidR="00CF7B98" w:rsidRPr="00743FE6">
        <w:rPr>
          <w:sz w:val="22"/>
          <w:szCs w:val="22"/>
        </w:rPr>
        <w:t xml:space="preserve">team working and </w:t>
      </w:r>
      <w:r w:rsidR="00A3604B" w:rsidRPr="00743FE6">
        <w:rPr>
          <w:sz w:val="22"/>
          <w:szCs w:val="22"/>
        </w:rPr>
        <w:t>leadership skills</w:t>
      </w:r>
      <w:r w:rsidR="00D45521" w:rsidRPr="00743FE6">
        <w:rPr>
          <w:sz w:val="22"/>
          <w:szCs w:val="22"/>
        </w:rPr>
        <w:t xml:space="preserve">. </w:t>
      </w:r>
    </w:p>
    <w:p w14:paraId="1AAA9F41" w14:textId="77777777" w:rsidR="00E51BE7" w:rsidRPr="00743FE6" w:rsidRDefault="00E51BE7" w:rsidP="00743FE6">
      <w:pPr>
        <w:spacing w:before="240" w:after="120"/>
        <w:jc w:val="both"/>
        <w:rPr>
          <w:sz w:val="22"/>
          <w:szCs w:val="22"/>
        </w:rPr>
      </w:pPr>
    </w:p>
    <w:p w14:paraId="2F0F45FC" w14:textId="2FBDD58D" w:rsidR="006D3942" w:rsidRPr="00E51BE7" w:rsidRDefault="008670EC" w:rsidP="00037636">
      <w:pPr>
        <w:spacing w:before="120" w:after="120"/>
        <w:jc w:val="both"/>
        <w:rPr>
          <w:rFonts w:asciiTheme="majorHAnsi" w:hAnsiTheme="majorHAnsi" w:cs="Arial"/>
          <w:b/>
        </w:rPr>
      </w:pPr>
      <w:r w:rsidRPr="00E51BE7">
        <w:rPr>
          <w:rFonts w:asciiTheme="majorHAnsi" w:hAnsiTheme="majorHAnsi" w:cs="Arial"/>
          <w:b/>
        </w:rPr>
        <w:t>Problem and opportunity</w:t>
      </w:r>
    </w:p>
    <w:p w14:paraId="67B08047" w14:textId="689340DB" w:rsidR="00297C33" w:rsidRDefault="006D3942" w:rsidP="00297C33">
      <w:pPr>
        <w:spacing w:before="240" w:after="120"/>
        <w:jc w:val="both"/>
        <w:rPr>
          <w:sz w:val="22"/>
          <w:szCs w:val="22"/>
        </w:rPr>
      </w:pPr>
      <w:proofErr w:type="gramStart"/>
      <w:r w:rsidRPr="00743FE6">
        <w:rPr>
          <w:rFonts w:cs="Arial"/>
          <w:sz w:val="22"/>
          <w:szCs w:val="22"/>
        </w:rPr>
        <w:t>According to</w:t>
      </w:r>
      <w:proofErr w:type="gramEnd"/>
      <w:r w:rsidRPr="00743FE6">
        <w:rPr>
          <w:rFonts w:cs="Arial"/>
          <w:sz w:val="22"/>
          <w:szCs w:val="22"/>
        </w:rPr>
        <w:t xml:space="preserve"> a 2016 report</w:t>
      </w:r>
      <w:r w:rsidR="00CF686A">
        <w:rPr>
          <w:rStyle w:val="FootnoteReference"/>
          <w:rFonts w:cs="Arial"/>
          <w:sz w:val="22"/>
          <w:szCs w:val="22"/>
        </w:rPr>
        <w:footnoteReference w:id="2"/>
      </w:r>
      <w:r w:rsidRPr="00743FE6">
        <w:rPr>
          <w:rFonts w:cs="Arial"/>
          <w:sz w:val="22"/>
          <w:szCs w:val="22"/>
        </w:rPr>
        <w:t xml:space="preserve"> from the National Audit Office, NHS bodies’ financial performance worsened significantly in 2015-16. It also states “there are indications that financial stress is having an impact on access to services and quality of </w:t>
      </w:r>
      <w:proofErr w:type="gramStart"/>
      <w:r w:rsidRPr="00743FE6">
        <w:rPr>
          <w:rFonts w:cs="Arial"/>
          <w:sz w:val="22"/>
          <w:szCs w:val="22"/>
        </w:rPr>
        <w:t>care”</w:t>
      </w:r>
      <w:r w:rsidRPr="00743FE6">
        <w:rPr>
          <w:rFonts w:cs="Arial"/>
          <w:sz w:val="16"/>
          <w:szCs w:val="16"/>
        </w:rPr>
        <w:t>(</w:t>
      </w:r>
      <w:proofErr w:type="spellStart"/>
      <w:proofErr w:type="gramEnd"/>
      <w:r w:rsidRPr="00743FE6">
        <w:rPr>
          <w:rFonts w:cs="Arial"/>
          <w:sz w:val="16"/>
          <w:szCs w:val="16"/>
        </w:rPr>
        <w:t>pg</w:t>
      </w:r>
      <w:proofErr w:type="spellEnd"/>
      <w:r w:rsidRPr="00743FE6">
        <w:rPr>
          <w:rFonts w:cs="Arial"/>
          <w:sz w:val="16"/>
          <w:szCs w:val="16"/>
        </w:rPr>
        <w:t xml:space="preserve"> 9)</w:t>
      </w:r>
      <w:r w:rsidRPr="00743FE6">
        <w:rPr>
          <w:rFonts w:cs="Arial"/>
          <w:sz w:val="22"/>
          <w:szCs w:val="22"/>
        </w:rPr>
        <w:t xml:space="preserve">. </w:t>
      </w:r>
      <w:r w:rsidRPr="00743FE6">
        <w:rPr>
          <w:sz w:val="22"/>
          <w:szCs w:val="22"/>
        </w:rPr>
        <w:t>These economic concerns are compounded by socia</w:t>
      </w:r>
      <w:r>
        <w:rPr>
          <w:sz w:val="22"/>
          <w:szCs w:val="22"/>
        </w:rPr>
        <w:t xml:space="preserve">l and environmental </w:t>
      </w:r>
      <w:proofErr w:type="gramStart"/>
      <w:r>
        <w:rPr>
          <w:sz w:val="22"/>
          <w:szCs w:val="22"/>
        </w:rPr>
        <w:t>constraints,</w:t>
      </w:r>
      <w:proofErr w:type="gramEnd"/>
      <w:r>
        <w:rPr>
          <w:sz w:val="22"/>
          <w:szCs w:val="22"/>
        </w:rPr>
        <w:t xml:space="preserve"> climate change being classed as the “</w:t>
      </w:r>
      <w:r w:rsidRPr="00386387">
        <w:rPr>
          <w:rFonts w:cs="Arial"/>
          <w:sz w:val="22"/>
          <w:szCs w:val="22"/>
          <w:lang w:val="en-US"/>
        </w:rPr>
        <w:t>biggest global health threat of the 21st century</w:t>
      </w:r>
      <w:r>
        <w:rPr>
          <w:rFonts w:cs="Arial"/>
          <w:sz w:val="22"/>
          <w:szCs w:val="22"/>
          <w:lang w:val="en-US"/>
        </w:rPr>
        <w:t>”</w:t>
      </w:r>
      <w:r w:rsidR="006D7EE2">
        <w:rPr>
          <w:rStyle w:val="FootnoteReference"/>
          <w:sz w:val="22"/>
          <w:szCs w:val="22"/>
        </w:rPr>
        <w:footnoteReference w:id="3"/>
      </w:r>
      <w:r w:rsidRPr="00743FE6">
        <w:rPr>
          <w:sz w:val="22"/>
          <w:szCs w:val="22"/>
        </w:rPr>
        <w:t xml:space="preserve"> </w:t>
      </w:r>
      <w:r w:rsidR="00701DFC">
        <w:rPr>
          <w:sz w:val="22"/>
          <w:szCs w:val="22"/>
        </w:rPr>
        <w:t xml:space="preserve">and </w:t>
      </w:r>
      <w:r w:rsidRPr="00743FE6">
        <w:rPr>
          <w:sz w:val="22"/>
          <w:szCs w:val="22"/>
        </w:rPr>
        <w:t>the NHS being committed to reducing its gr</w:t>
      </w:r>
      <w:r w:rsidR="00496ADC">
        <w:rPr>
          <w:sz w:val="22"/>
          <w:szCs w:val="22"/>
        </w:rPr>
        <w:t>eenhouse gas emissions by 80% of</w:t>
      </w:r>
      <w:r w:rsidRPr="00743FE6">
        <w:rPr>
          <w:sz w:val="22"/>
          <w:szCs w:val="22"/>
        </w:rPr>
        <w:t xml:space="preserve"> 1990 levels by </w:t>
      </w:r>
      <w:r w:rsidRPr="009423DB">
        <w:rPr>
          <w:sz w:val="22"/>
          <w:szCs w:val="22"/>
        </w:rPr>
        <w:t>2050</w:t>
      </w:r>
      <w:r w:rsidR="006D7EE2">
        <w:rPr>
          <w:rStyle w:val="FootnoteReference"/>
          <w:sz w:val="22"/>
          <w:szCs w:val="22"/>
        </w:rPr>
        <w:footnoteReference w:id="4"/>
      </w:r>
      <w:r w:rsidR="008670EC" w:rsidRPr="009423DB">
        <w:rPr>
          <w:sz w:val="22"/>
          <w:szCs w:val="22"/>
        </w:rPr>
        <w:t>. These</w:t>
      </w:r>
      <w:r w:rsidR="008670EC" w:rsidRPr="00743FE6">
        <w:rPr>
          <w:sz w:val="22"/>
          <w:szCs w:val="22"/>
        </w:rPr>
        <w:t xml:space="preserve"> factors are going to increasingly pressurise a health care system that is already stretched to breaking point and struggling to meet the demands of the community it serves. </w:t>
      </w:r>
    </w:p>
    <w:p w14:paraId="4B69C5A2" w14:textId="74E0E5A4" w:rsidR="00716497" w:rsidRDefault="00716497" w:rsidP="00297C33">
      <w:pPr>
        <w:spacing w:before="240" w:after="120"/>
        <w:jc w:val="both"/>
        <w:rPr>
          <w:sz w:val="22"/>
          <w:szCs w:val="22"/>
        </w:rPr>
      </w:pPr>
      <w:r>
        <w:rPr>
          <w:sz w:val="22"/>
          <w:szCs w:val="22"/>
        </w:rPr>
        <w:t xml:space="preserve">Sustainability offers an opportunity to tackle these challenges in a new and positive way, engaging health professionals in </w:t>
      </w:r>
      <w:r w:rsidR="00E25AE9">
        <w:rPr>
          <w:sz w:val="22"/>
          <w:szCs w:val="22"/>
        </w:rPr>
        <w:t>improving the quality of their services while making best possible use of resources</w:t>
      </w:r>
      <w:r>
        <w:rPr>
          <w:sz w:val="22"/>
          <w:szCs w:val="22"/>
        </w:rPr>
        <w:t>.</w:t>
      </w:r>
    </w:p>
    <w:p w14:paraId="1C2418BC" w14:textId="2BEDE1B3" w:rsidR="007B5CEB" w:rsidRPr="0060681C" w:rsidRDefault="0060681C" w:rsidP="0060681C">
      <w:pPr>
        <w:jc w:val="both"/>
        <w:rPr>
          <w:sz w:val="22"/>
          <w:lang w:val="en-US"/>
        </w:rPr>
      </w:pPr>
      <w:r w:rsidRPr="0060681C">
        <w:rPr>
          <w:sz w:val="22"/>
          <w:lang w:val="en-US"/>
        </w:rPr>
        <w:lastRenderedPageBreak/>
        <w:t xml:space="preserve">To </w:t>
      </w:r>
      <w:r>
        <w:rPr>
          <w:sz w:val="22"/>
          <w:lang w:val="en-US"/>
        </w:rPr>
        <w:t>help guide practical change, t</w:t>
      </w:r>
      <w:r w:rsidR="003532F3">
        <w:rPr>
          <w:sz w:val="22"/>
        </w:rPr>
        <w:t>he Centre for Sustainable Healthcare has identified four principles of sustainable clinical practice</w:t>
      </w:r>
      <w:r w:rsidR="00037636">
        <w:rPr>
          <w:rStyle w:val="FootnoteReference"/>
          <w:sz w:val="22"/>
        </w:rPr>
        <w:footnoteReference w:id="5"/>
      </w:r>
      <w:r w:rsidR="007B5CEB" w:rsidRPr="007B5CEB">
        <w:rPr>
          <w:sz w:val="22"/>
        </w:rPr>
        <w:t xml:space="preserve">: </w:t>
      </w:r>
    </w:p>
    <w:p w14:paraId="2FD5B73E" w14:textId="68C4527F" w:rsidR="007B5CEB" w:rsidRPr="003532F3" w:rsidRDefault="007B5CEB" w:rsidP="003532F3">
      <w:pPr>
        <w:pStyle w:val="ListParagraph"/>
        <w:numPr>
          <w:ilvl w:val="0"/>
          <w:numId w:val="32"/>
        </w:numPr>
        <w:jc w:val="both"/>
        <w:rPr>
          <w:sz w:val="22"/>
        </w:rPr>
      </w:pPr>
      <w:r w:rsidRPr="003532F3">
        <w:rPr>
          <w:sz w:val="22"/>
        </w:rPr>
        <w:t>Prevention - promoting health by tackling the causes of illnesses and inequalities</w:t>
      </w:r>
    </w:p>
    <w:p w14:paraId="34E3A249" w14:textId="7F07C51A" w:rsidR="007B5CEB" w:rsidRPr="003532F3" w:rsidRDefault="007B5CEB" w:rsidP="003532F3">
      <w:pPr>
        <w:pStyle w:val="ListParagraph"/>
        <w:numPr>
          <w:ilvl w:val="0"/>
          <w:numId w:val="32"/>
        </w:numPr>
        <w:jc w:val="both"/>
        <w:rPr>
          <w:sz w:val="22"/>
        </w:rPr>
      </w:pPr>
      <w:r w:rsidRPr="003532F3">
        <w:rPr>
          <w:sz w:val="22"/>
        </w:rPr>
        <w:t>Patient self-care - empowering patients to take a greater role in managing their health</w:t>
      </w:r>
    </w:p>
    <w:p w14:paraId="1BD59F6A" w14:textId="4F3B899D" w:rsidR="007B5CEB" w:rsidRPr="003532F3" w:rsidRDefault="007B5CEB" w:rsidP="003532F3">
      <w:pPr>
        <w:pStyle w:val="ListParagraph"/>
        <w:numPr>
          <w:ilvl w:val="0"/>
          <w:numId w:val="32"/>
        </w:numPr>
        <w:jc w:val="both"/>
        <w:rPr>
          <w:sz w:val="22"/>
        </w:rPr>
      </w:pPr>
      <w:r w:rsidRPr="003532F3">
        <w:rPr>
          <w:sz w:val="22"/>
        </w:rPr>
        <w:t>Lean service delivery - streamlining care systems to minimise wasteful activities</w:t>
      </w:r>
    </w:p>
    <w:p w14:paraId="6D5177A0" w14:textId="3C7E939F" w:rsidR="007B5CEB" w:rsidRPr="003532F3" w:rsidRDefault="007B5CEB" w:rsidP="003532F3">
      <w:pPr>
        <w:pStyle w:val="ListParagraph"/>
        <w:numPr>
          <w:ilvl w:val="0"/>
          <w:numId w:val="32"/>
        </w:numPr>
        <w:jc w:val="both"/>
        <w:rPr>
          <w:sz w:val="22"/>
        </w:rPr>
      </w:pPr>
      <w:r w:rsidRPr="003532F3">
        <w:rPr>
          <w:sz w:val="22"/>
        </w:rPr>
        <w:t>Low carbon alternatives – prioritising treatments with a lower environmental impact.</w:t>
      </w:r>
    </w:p>
    <w:p w14:paraId="69673852" w14:textId="77777777" w:rsidR="007B5CEB" w:rsidRPr="007B5CEB" w:rsidRDefault="007B5CEB" w:rsidP="008670EC">
      <w:pPr>
        <w:spacing w:after="120"/>
        <w:jc w:val="both"/>
        <w:rPr>
          <w:sz w:val="21"/>
        </w:rPr>
      </w:pPr>
    </w:p>
    <w:p w14:paraId="7A6B9564" w14:textId="34F420E5" w:rsidR="00AD097D" w:rsidRPr="00743FE6" w:rsidRDefault="008670EC" w:rsidP="008670EC">
      <w:pPr>
        <w:spacing w:after="120"/>
        <w:jc w:val="both"/>
        <w:rPr>
          <w:sz w:val="22"/>
        </w:rPr>
      </w:pPr>
      <w:r w:rsidRPr="00743FE6">
        <w:rPr>
          <w:sz w:val="22"/>
        </w:rPr>
        <w:t xml:space="preserve">Creating healthy communities and prioritising preventative and adaptive strategies to improve health can enable the health system to continue to provide quality care for future generations. Balancing the economic, environmental, and social constraints and demands within healthcare settings is vital to this approach. </w:t>
      </w:r>
    </w:p>
    <w:p w14:paraId="629277D6" w14:textId="724448A0" w:rsidR="008670EC" w:rsidRPr="007C0CF0" w:rsidRDefault="008670EC" w:rsidP="007C0CF0">
      <w:pPr>
        <w:widowControl w:val="0"/>
        <w:autoSpaceDE w:val="0"/>
        <w:autoSpaceDN w:val="0"/>
        <w:adjustRightInd w:val="0"/>
        <w:spacing w:line="360" w:lineRule="auto"/>
        <w:ind w:left="907"/>
        <w:rPr>
          <w:rFonts w:asciiTheme="majorHAnsi" w:hAnsiTheme="majorHAnsi" w:cs="Calibri"/>
          <w:sz w:val="22"/>
        </w:rPr>
      </w:pPr>
      <w:r w:rsidRPr="007C0CF0">
        <w:rPr>
          <w:rFonts w:asciiTheme="majorHAnsi" w:hAnsiTheme="majorHAnsi"/>
          <w:sz w:val="22"/>
        </w:rPr>
        <w:t>Sustainable</w:t>
      </w:r>
      <w:r w:rsidRPr="007C0CF0">
        <w:rPr>
          <w:rFonts w:asciiTheme="majorHAnsi" w:hAnsiTheme="majorHAnsi" w:cs="Calibri"/>
          <w:sz w:val="22"/>
        </w:rPr>
        <w:t xml:space="preserve"> </w:t>
      </w:r>
      <w:r w:rsidR="007438EF" w:rsidRPr="007C0CF0">
        <w:rPr>
          <w:rFonts w:asciiTheme="majorHAnsi" w:hAnsiTheme="majorHAnsi" w:cs="Calibri"/>
          <w:sz w:val="22"/>
        </w:rPr>
        <w:t xml:space="preserve">value in </w:t>
      </w:r>
      <w:r w:rsidRPr="007C0CF0">
        <w:rPr>
          <w:rFonts w:asciiTheme="majorHAnsi" w:hAnsiTheme="majorHAnsi" w:cs="Calibri"/>
          <w:sz w:val="22"/>
        </w:rPr>
        <w:t>healthcare</w:t>
      </w:r>
      <w:r w:rsidR="005343FD">
        <w:rPr>
          <w:rFonts w:asciiTheme="majorHAnsi" w:hAnsiTheme="majorHAnsi" w:cs="Calibri"/>
          <w:sz w:val="22"/>
        </w:rPr>
        <w:t xml:space="preserve"> </w:t>
      </w:r>
      <w:r w:rsidR="005343FD" w:rsidRPr="007C0CF0">
        <w:rPr>
          <w:rStyle w:val="FootnoteReference"/>
          <w:rFonts w:asciiTheme="majorHAnsi" w:hAnsiTheme="majorHAnsi" w:cs="Calibri"/>
          <w:sz w:val="22"/>
        </w:rPr>
        <w:footnoteReference w:id="6"/>
      </w:r>
      <w:r w:rsidRPr="007C0CF0">
        <w:rPr>
          <w:rFonts w:asciiTheme="majorHAnsi" w:hAnsiTheme="majorHAnsi" w:cs="Calibri"/>
          <w:sz w:val="22"/>
        </w:rPr>
        <w:tab/>
        <w:t xml:space="preserve">=        </w:t>
      </w:r>
      <w:r w:rsidR="00992305">
        <w:rPr>
          <w:rFonts w:asciiTheme="majorHAnsi" w:hAnsiTheme="majorHAnsi" w:cs="Calibri"/>
          <w:sz w:val="22"/>
          <w:szCs w:val="22"/>
        </w:rPr>
        <w:t xml:space="preserve">  </w:t>
      </w:r>
      <w:r w:rsidR="007438EF" w:rsidRPr="007C0CF0">
        <w:rPr>
          <w:rFonts w:asciiTheme="majorHAnsi" w:hAnsiTheme="majorHAnsi" w:cs="Calibri"/>
          <w:sz w:val="22"/>
          <w:szCs w:val="22"/>
        </w:rPr>
        <w:t xml:space="preserve"> </w:t>
      </w:r>
      <w:r w:rsidR="00AD097D" w:rsidRPr="007C0CF0">
        <w:rPr>
          <w:rFonts w:asciiTheme="majorHAnsi" w:hAnsiTheme="majorHAnsi" w:cs="Calibri"/>
          <w:sz w:val="22"/>
          <w:szCs w:val="22"/>
        </w:rPr>
        <w:t xml:space="preserve">    </w:t>
      </w:r>
      <w:r w:rsidRPr="007C0CF0">
        <w:rPr>
          <w:rFonts w:asciiTheme="majorHAnsi" w:hAnsiTheme="majorHAnsi" w:cs="Calibri"/>
          <w:sz w:val="22"/>
          <w:u w:val="single"/>
        </w:rPr>
        <w:t>outcomes</w:t>
      </w:r>
      <w:r w:rsidR="00AD097D" w:rsidRPr="007C0CF0">
        <w:rPr>
          <w:rFonts w:asciiTheme="majorHAnsi" w:hAnsiTheme="majorHAnsi" w:cs="Calibri"/>
          <w:sz w:val="22"/>
          <w:u w:val="single"/>
        </w:rPr>
        <w:t xml:space="preserve"> for patients &amp; populations</w:t>
      </w:r>
      <w:r w:rsidR="005343FD">
        <w:rPr>
          <w:rFonts w:asciiTheme="majorHAnsi" w:hAnsiTheme="majorHAnsi" w:cs="Calibri"/>
          <w:sz w:val="22"/>
          <w:u w:val="single"/>
        </w:rPr>
        <w:t xml:space="preserve">  </w:t>
      </w:r>
    </w:p>
    <w:p w14:paraId="280C429B" w14:textId="5B0506F8" w:rsidR="008670EC" w:rsidRPr="007C0CF0" w:rsidRDefault="00AD097D" w:rsidP="00992305">
      <w:pPr>
        <w:widowControl w:val="0"/>
        <w:autoSpaceDE w:val="0"/>
        <w:autoSpaceDN w:val="0"/>
        <w:adjustRightInd w:val="0"/>
        <w:ind w:left="4770"/>
        <w:jc w:val="center"/>
        <w:rPr>
          <w:rFonts w:asciiTheme="majorHAnsi" w:hAnsiTheme="majorHAnsi" w:cs="Calibri"/>
          <w:sz w:val="22"/>
        </w:rPr>
      </w:pPr>
      <w:r w:rsidRPr="007C0CF0">
        <w:rPr>
          <w:rFonts w:asciiTheme="majorHAnsi" w:hAnsiTheme="majorHAnsi" w:cs="Calibri"/>
          <w:sz w:val="22"/>
        </w:rPr>
        <w:t>environmental + social + financial impacts</w:t>
      </w:r>
      <w:r w:rsidR="008670EC" w:rsidRPr="007C0CF0">
        <w:rPr>
          <w:rFonts w:asciiTheme="majorHAnsi" w:hAnsiTheme="majorHAnsi" w:cs="Calibri"/>
          <w:sz w:val="22"/>
        </w:rPr>
        <w:t xml:space="preserve"> </w:t>
      </w:r>
      <w:r w:rsidR="008670EC" w:rsidRPr="007C0CF0">
        <w:rPr>
          <w:rFonts w:asciiTheme="majorHAnsi" w:hAnsiTheme="majorHAnsi" w:cs="Calibri"/>
          <w:sz w:val="22"/>
        </w:rPr>
        <w:br/>
        <w:t>(</w:t>
      </w:r>
      <w:r w:rsidRPr="007C0CF0">
        <w:rPr>
          <w:rFonts w:asciiTheme="majorHAnsi" w:hAnsiTheme="majorHAnsi" w:cs="Calibri"/>
          <w:sz w:val="22"/>
        </w:rPr>
        <w:t>the “triple bottom line”</w:t>
      </w:r>
      <w:r w:rsidR="008670EC" w:rsidRPr="007C0CF0">
        <w:rPr>
          <w:rFonts w:asciiTheme="majorHAnsi" w:hAnsiTheme="majorHAnsi" w:cs="Calibri"/>
          <w:sz w:val="22"/>
        </w:rPr>
        <w:t>)</w:t>
      </w:r>
    </w:p>
    <w:p w14:paraId="274E6092" w14:textId="77777777" w:rsidR="00D12918" w:rsidRDefault="00D12918" w:rsidP="00743FE6">
      <w:pPr>
        <w:spacing w:before="240" w:after="120"/>
        <w:jc w:val="both"/>
        <w:rPr>
          <w:sz w:val="22"/>
          <w:szCs w:val="22"/>
        </w:rPr>
      </w:pPr>
    </w:p>
    <w:p w14:paraId="53F24368" w14:textId="77777777" w:rsidR="00CD2764" w:rsidRDefault="00BF3C20" w:rsidP="00CD2764">
      <w:pPr>
        <w:spacing w:before="120" w:after="120"/>
        <w:jc w:val="both"/>
        <w:rPr>
          <w:rFonts w:cs="Arial"/>
          <w:sz w:val="22"/>
          <w:szCs w:val="22"/>
        </w:rPr>
      </w:pPr>
      <w:r w:rsidRPr="00E51BE7">
        <w:rPr>
          <w:rFonts w:asciiTheme="majorHAnsi" w:hAnsiTheme="majorHAnsi" w:cs="Arial"/>
          <w:b/>
        </w:rPr>
        <w:t xml:space="preserve">The </w:t>
      </w:r>
      <w:r w:rsidR="00CD2764" w:rsidRPr="00CD2764">
        <w:rPr>
          <w:rFonts w:asciiTheme="majorHAnsi" w:hAnsiTheme="majorHAnsi" w:cs="Arial"/>
          <w:b/>
        </w:rPr>
        <w:t>CCG Sustainability Scholars Programme</w:t>
      </w:r>
      <w:r w:rsidR="00CD2764" w:rsidRPr="00743FE6">
        <w:rPr>
          <w:rFonts w:cs="Arial"/>
          <w:sz w:val="22"/>
          <w:szCs w:val="22"/>
        </w:rPr>
        <w:t xml:space="preserve"> </w:t>
      </w:r>
    </w:p>
    <w:p w14:paraId="26F91008" w14:textId="649C869F" w:rsidR="007F793A" w:rsidRPr="00743FE6" w:rsidRDefault="00365EA0" w:rsidP="00CD2764">
      <w:pPr>
        <w:spacing w:before="120" w:after="120"/>
        <w:jc w:val="both"/>
        <w:rPr>
          <w:sz w:val="22"/>
          <w:szCs w:val="22"/>
        </w:rPr>
      </w:pPr>
      <w:r>
        <w:rPr>
          <w:rFonts w:cs="Arial"/>
          <w:sz w:val="22"/>
          <w:szCs w:val="22"/>
        </w:rPr>
        <w:t>The CCG</w:t>
      </w:r>
      <w:r w:rsidR="007B5CEB">
        <w:rPr>
          <w:rFonts w:cs="Arial"/>
          <w:sz w:val="22"/>
          <w:szCs w:val="22"/>
        </w:rPr>
        <w:t xml:space="preserve"> </w:t>
      </w:r>
      <w:r w:rsidR="0075156A" w:rsidRPr="00743FE6">
        <w:rPr>
          <w:rFonts w:cs="Arial"/>
          <w:sz w:val="22"/>
          <w:szCs w:val="22"/>
        </w:rPr>
        <w:t>Sustainability Scholars</w:t>
      </w:r>
      <w:r w:rsidR="00B47435" w:rsidRPr="00743FE6">
        <w:rPr>
          <w:rFonts w:cs="Arial"/>
          <w:sz w:val="22"/>
          <w:szCs w:val="22"/>
        </w:rPr>
        <w:t xml:space="preserve"> Programme </w:t>
      </w:r>
      <w:r>
        <w:rPr>
          <w:rFonts w:cs="Arial"/>
          <w:sz w:val="22"/>
          <w:szCs w:val="22"/>
        </w:rPr>
        <w:t xml:space="preserve">is </w:t>
      </w:r>
      <w:r w:rsidR="00B47435" w:rsidRPr="00743FE6">
        <w:rPr>
          <w:rFonts w:cs="Arial"/>
          <w:sz w:val="22"/>
          <w:szCs w:val="22"/>
        </w:rPr>
        <w:t xml:space="preserve">designed </w:t>
      </w:r>
      <w:r w:rsidR="000720D6" w:rsidRPr="00743FE6">
        <w:rPr>
          <w:sz w:val="22"/>
          <w:szCs w:val="22"/>
        </w:rPr>
        <w:t xml:space="preserve">to </w:t>
      </w:r>
      <w:r w:rsidR="00567ED4" w:rsidRPr="00743FE6">
        <w:rPr>
          <w:sz w:val="22"/>
          <w:szCs w:val="22"/>
        </w:rPr>
        <w:t xml:space="preserve">equip </w:t>
      </w:r>
      <w:r>
        <w:rPr>
          <w:sz w:val="22"/>
          <w:szCs w:val="22"/>
        </w:rPr>
        <w:t>health professionals</w:t>
      </w:r>
      <w:r w:rsidR="00567ED4" w:rsidRPr="00743FE6">
        <w:rPr>
          <w:sz w:val="22"/>
          <w:szCs w:val="22"/>
        </w:rPr>
        <w:t xml:space="preserve"> for sustainable </w:t>
      </w:r>
      <w:r w:rsidR="004F7128">
        <w:rPr>
          <w:sz w:val="22"/>
          <w:szCs w:val="22"/>
        </w:rPr>
        <w:t>health</w:t>
      </w:r>
      <w:r w:rsidR="0093043D" w:rsidRPr="00743FE6">
        <w:rPr>
          <w:sz w:val="22"/>
          <w:szCs w:val="22"/>
        </w:rPr>
        <w:t>care</w:t>
      </w:r>
      <w:r w:rsidR="000720D6" w:rsidRPr="00743FE6">
        <w:rPr>
          <w:sz w:val="22"/>
          <w:szCs w:val="22"/>
        </w:rPr>
        <w:t>.</w:t>
      </w:r>
      <w:r w:rsidR="00CD2764">
        <w:rPr>
          <w:sz w:val="22"/>
          <w:szCs w:val="22"/>
        </w:rPr>
        <w:t xml:space="preserve"> </w:t>
      </w:r>
      <w:r>
        <w:rPr>
          <w:rFonts w:cs="Arial"/>
          <w:sz w:val="22"/>
          <w:szCs w:val="22"/>
        </w:rPr>
        <w:t>The</w:t>
      </w:r>
      <w:r w:rsidR="000720D6" w:rsidRPr="00743FE6">
        <w:rPr>
          <w:rFonts w:cs="Arial"/>
          <w:sz w:val="22"/>
          <w:szCs w:val="22"/>
        </w:rPr>
        <w:t xml:space="preserve"> Scholarships will be </w:t>
      </w:r>
      <w:r>
        <w:rPr>
          <w:rFonts w:cs="Arial"/>
          <w:sz w:val="22"/>
          <w:szCs w:val="22"/>
        </w:rPr>
        <w:t xml:space="preserve">part-time and </w:t>
      </w:r>
      <w:r w:rsidR="000720D6" w:rsidRPr="00743FE6">
        <w:rPr>
          <w:rFonts w:cs="Arial"/>
          <w:sz w:val="22"/>
          <w:szCs w:val="22"/>
        </w:rPr>
        <w:t>open</w:t>
      </w:r>
      <w:r w:rsidR="00B47435" w:rsidRPr="00743FE6">
        <w:rPr>
          <w:rFonts w:cs="Arial"/>
          <w:sz w:val="22"/>
          <w:szCs w:val="22"/>
        </w:rPr>
        <w:t xml:space="preserve"> to </w:t>
      </w:r>
      <w:r w:rsidR="007F793A">
        <w:rPr>
          <w:rFonts w:cs="Arial"/>
          <w:sz w:val="22"/>
          <w:szCs w:val="22"/>
        </w:rPr>
        <w:t>doctors in training, nurses and allied health professionals</w:t>
      </w:r>
      <w:r w:rsidR="007F793A" w:rsidRPr="00743FE6">
        <w:rPr>
          <w:rFonts w:cs="Arial"/>
          <w:sz w:val="22"/>
          <w:szCs w:val="22"/>
        </w:rPr>
        <w:t xml:space="preserve"> </w:t>
      </w:r>
      <w:r w:rsidR="000720D6" w:rsidRPr="00743FE6">
        <w:rPr>
          <w:rFonts w:cs="Arial"/>
          <w:sz w:val="22"/>
          <w:szCs w:val="22"/>
        </w:rPr>
        <w:t>each year</w:t>
      </w:r>
      <w:r w:rsidR="00B47435" w:rsidRPr="00743FE6">
        <w:rPr>
          <w:rFonts w:cs="Arial"/>
          <w:sz w:val="22"/>
          <w:szCs w:val="22"/>
        </w:rPr>
        <w:t>.</w:t>
      </w:r>
      <w:r w:rsidR="00BB2813">
        <w:rPr>
          <w:sz w:val="22"/>
          <w:szCs w:val="22"/>
        </w:rPr>
        <w:t xml:space="preserve"> </w:t>
      </w:r>
      <w:r w:rsidR="00EC1F23" w:rsidRPr="00743FE6">
        <w:rPr>
          <w:sz w:val="22"/>
          <w:szCs w:val="22"/>
        </w:rPr>
        <w:t>Seconded to the role</w:t>
      </w:r>
      <w:r w:rsidR="007F793A">
        <w:rPr>
          <w:sz w:val="22"/>
          <w:szCs w:val="22"/>
        </w:rPr>
        <w:t>,</w:t>
      </w:r>
      <w:r w:rsidR="00EC1F23" w:rsidRPr="00743FE6">
        <w:rPr>
          <w:sz w:val="22"/>
          <w:szCs w:val="22"/>
        </w:rPr>
        <w:t xml:space="preserve"> </w:t>
      </w:r>
      <w:r w:rsidR="00B47435" w:rsidRPr="00743FE6">
        <w:rPr>
          <w:sz w:val="22"/>
          <w:szCs w:val="22"/>
        </w:rPr>
        <w:t xml:space="preserve">the Scholars </w:t>
      </w:r>
      <w:r w:rsidR="00AB1D78" w:rsidRPr="00743FE6">
        <w:rPr>
          <w:sz w:val="22"/>
          <w:szCs w:val="22"/>
        </w:rPr>
        <w:t xml:space="preserve">will </w:t>
      </w:r>
      <w:r w:rsidR="000A43DD" w:rsidRPr="00743FE6">
        <w:rPr>
          <w:sz w:val="22"/>
          <w:szCs w:val="22"/>
        </w:rPr>
        <w:t>undertake</w:t>
      </w:r>
      <w:r w:rsidR="00B47435" w:rsidRPr="00743FE6">
        <w:rPr>
          <w:sz w:val="22"/>
          <w:szCs w:val="22"/>
        </w:rPr>
        <w:t xml:space="preserve"> </w:t>
      </w:r>
      <w:r w:rsidR="00567ED4" w:rsidRPr="00743FE6">
        <w:rPr>
          <w:sz w:val="22"/>
          <w:szCs w:val="22"/>
        </w:rPr>
        <w:t xml:space="preserve">applied </w:t>
      </w:r>
      <w:r w:rsidR="00B47435" w:rsidRPr="00743FE6">
        <w:rPr>
          <w:sz w:val="22"/>
          <w:szCs w:val="22"/>
        </w:rPr>
        <w:t xml:space="preserve">projects </w:t>
      </w:r>
      <w:r w:rsidR="00A95034">
        <w:rPr>
          <w:sz w:val="22"/>
          <w:szCs w:val="22"/>
        </w:rPr>
        <w:t>(see Appendix 1)</w:t>
      </w:r>
      <w:r w:rsidR="0027056D">
        <w:rPr>
          <w:sz w:val="22"/>
          <w:szCs w:val="22"/>
        </w:rPr>
        <w:t>.</w:t>
      </w:r>
      <w:r w:rsidR="00A95034">
        <w:rPr>
          <w:sz w:val="22"/>
          <w:szCs w:val="22"/>
        </w:rPr>
        <w:t xml:space="preserve"> </w:t>
      </w:r>
    </w:p>
    <w:p w14:paraId="0B99DEC2" w14:textId="72BBFE40" w:rsidR="00032FC3" w:rsidRDefault="00266A19" w:rsidP="00743FE6">
      <w:pPr>
        <w:spacing w:after="120"/>
        <w:jc w:val="both"/>
        <w:rPr>
          <w:sz w:val="22"/>
          <w:szCs w:val="22"/>
        </w:rPr>
      </w:pPr>
      <w:r w:rsidRPr="00743FE6">
        <w:rPr>
          <w:sz w:val="22"/>
          <w:szCs w:val="22"/>
        </w:rPr>
        <w:t xml:space="preserve">Key elements of the programme are: </w:t>
      </w:r>
    </w:p>
    <w:p w14:paraId="4EED73F0" w14:textId="173C0F8D" w:rsidR="00365EA0" w:rsidRPr="00BB2813" w:rsidRDefault="00365EA0" w:rsidP="00365EA0">
      <w:pPr>
        <w:numPr>
          <w:ilvl w:val="0"/>
          <w:numId w:val="1"/>
        </w:numPr>
        <w:spacing w:after="60"/>
        <w:jc w:val="both"/>
        <w:rPr>
          <w:rFonts w:cs="Arial"/>
          <w:sz w:val="22"/>
          <w:szCs w:val="22"/>
        </w:rPr>
      </w:pPr>
      <w:r w:rsidRPr="00BB2813">
        <w:rPr>
          <w:rFonts w:cs="Arial"/>
          <w:sz w:val="22"/>
          <w:szCs w:val="22"/>
        </w:rPr>
        <w:t xml:space="preserve">Development and sharing of </w:t>
      </w:r>
      <w:r>
        <w:rPr>
          <w:rFonts w:cs="Arial"/>
          <w:sz w:val="22"/>
          <w:szCs w:val="22"/>
        </w:rPr>
        <w:t>projects and resources in sustainable commissioning and sustainable healthcare</w:t>
      </w:r>
      <w:r w:rsidR="007F4D0A">
        <w:rPr>
          <w:rFonts w:cs="Arial"/>
          <w:sz w:val="22"/>
          <w:szCs w:val="22"/>
        </w:rPr>
        <w:t xml:space="preserve"> tailored to the identified need of the CCG</w:t>
      </w:r>
      <w:r>
        <w:rPr>
          <w:rFonts w:cs="Arial"/>
          <w:sz w:val="22"/>
          <w:szCs w:val="22"/>
        </w:rPr>
        <w:t>.</w:t>
      </w:r>
    </w:p>
    <w:p w14:paraId="1C267971" w14:textId="56A3FBEE" w:rsidR="00BB2813" w:rsidRDefault="00EF6366" w:rsidP="00743FE6">
      <w:pPr>
        <w:numPr>
          <w:ilvl w:val="0"/>
          <w:numId w:val="1"/>
        </w:numPr>
        <w:spacing w:after="60"/>
        <w:jc w:val="both"/>
        <w:rPr>
          <w:rFonts w:cs="Arial"/>
          <w:sz w:val="22"/>
          <w:szCs w:val="22"/>
        </w:rPr>
      </w:pPr>
      <w:r w:rsidRPr="00743FE6">
        <w:rPr>
          <w:rFonts w:cs="Arial"/>
          <w:sz w:val="22"/>
          <w:szCs w:val="22"/>
        </w:rPr>
        <w:t>Contribution</w:t>
      </w:r>
      <w:r w:rsidR="00C846B5" w:rsidRPr="00743FE6">
        <w:rPr>
          <w:rFonts w:cs="Arial"/>
          <w:sz w:val="22"/>
          <w:szCs w:val="22"/>
        </w:rPr>
        <w:t xml:space="preserve"> to a specialty-wide discourse on sustainability</w:t>
      </w:r>
      <w:r w:rsidR="00CD2764">
        <w:rPr>
          <w:rFonts w:cs="Arial"/>
          <w:sz w:val="22"/>
          <w:szCs w:val="22"/>
        </w:rPr>
        <w:t xml:space="preserve"> </w:t>
      </w:r>
      <w:r w:rsidR="00CD2764">
        <w:rPr>
          <w:rFonts w:cs="Arial"/>
          <w:sz w:val="22"/>
          <w:szCs w:val="22"/>
        </w:rPr>
        <w:t xml:space="preserve">aligned with the scholar’s </w:t>
      </w:r>
      <w:r w:rsidR="00CD2764">
        <w:rPr>
          <w:rFonts w:cs="Arial"/>
          <w:sz w:val="22"/>
          <w:szCs w:val="22"/>
        </w:rPr>
        <w:t xml:space="preserve">CCG </w:t>
      </w:r>
      <w:r w:rsidR="00CD2764">
        <w:rPr>
          <w:rFonts w:cs="Arial"/>
          <w:sz w:val="22"/>
          <w:szCs w:val="22"/>
        </w:rPr>
        <w:t>work</w:t>
      </w:r>
      <w:r w:rsidR="00C846B5" w:rsidRPr="00743FE6">
        <w:rPr>
          <w:rFonts w:cs="Arial"/>
          <w:sz w:val="22"/>
          <w:szCs w:val="22"/>
        </w:rPr>
        <w:t xml:space="preserve">, through </w:t>
      </w:r>
      <w:r w:rsidR="00274C49">
        <w:rPr>
          <w:rFonts w:cs="Arial"/>
          <w:sz w:val="22"/>
          <w:szCs w:val="22"/>
        </w:rPr>
        <w:t xml:space="preserve">internal and external </w:t>
      </w:r>
      <w:r w:rsidR="00C846B5" w:rsidRPr="00743FE6">
        <w:rPr>
          <w:rFonts w:cs="Arial"/>
          <w:sz w:val="22"/>
          <w:szCs w:val="22"/>
        </w:rPr>
        <w:t xml:space="preserve">presentations, </w:t>
      </w:r>
      <w:r w:rsidR="00567ED4" w:rsidRPr="00743FE6">
        <w:rPr>
          <w:rFonts w:cs="Arial"/>
          <w:sz w:val="22"/>
          <w:szCs w:val="22"/>
        </w:rPr>
        <w:t xml:space="preserve">publications, events and online </w:t>
      </w:r>
      <w:proofErr w:type="gramStart"/>
      <w:r w:rsidR="00567ED4" w:rsidRPr="00743FE6">
        <w:rPr>
          <w:rFonts w:cs="Arial"/>
          <w:sz w:val="22"/>
          <w:szCs w:val="22"/>
        </w:rPr>
        <w:t>networking</w:t>
      </w:r>
      <w:r w:rsidR="007F4D0A">
        <w:rPr>
          <w:rFonts w:cs="Arial"/>
          <w:sz w:val="22"/>
          <w:szCs w:val="22"/>
        </w:rPr>
        <w:t xml:space="preserve"> </w:t>
      </w:r>
      <w:r w:rsidR="00567ED4" w:rsidRPr="00743FE6">
        <w:rPr>
          <w:rFonts w:cs="Arial"/>
          <w:sz w:val="22"/>
          <w:szCs w:val="22"/>
        </w:rPr>
        <w:t>.</w:t>
      </w:r>
      <w:proofErr w:type="gramEnd"/>
    </w:p>
    <w:p w14:paraId="2DB009AB" w14:textId="104005FF" w:rsidR="00365EA0" w:rsidRPr="00365EA0" w:rsidRDefault="00365EA0" w:rsidP="00365EA0">
      <w:pPr>
        <w:numPr>
          <w:ilvl w:val="0"/>
          <w:numId w:val="1"/>
        </w:numPr>
        <w:spacing w:after="60"/>
        <w:jc w:val="both"/>
        <w:rPr>
          <w:rFonts w:cs="Arial"/>
          <w:sz w:val="22"/>
          <w:szCs w:val="22"/>
        </w:rPr>
      </w:pPr>
      <w:r w:rsidRPr="00743FE6">
        <w:rPr>
          <w:rFonts w:cs="Arial"/>
          <w:sz w:val="22"/>
          <w:szCs w:val="22"/>
        </w:rPr>
        <w:t xml:space="preserve">Development of a motivated and talented </w:t>
      </w:r>
      <w:r w:rsidR="00274C49">
        <w:rPr>
          <w:rFonts w:cs="Arial"/>
          <w:sz w:val="22"/>
          <w:szCs w:val="22"/>
        </w:rPr>
        <w:t xml:space="preserve">healthcare worker as </w:t>
      </w:r>
      <w:r w:rsidR="00CD2764">
        <w:rPr>
          <w:rFonts w:cs="Arial"/>
          <w:sz w:val="22"/>
          <w:szCs w:val="22"/>
        </w:rPr>
        <w:t xml:space="preserve">a </w:t>
      </w:r>
      <w:r w:rsidR="00274C49">
        <w:rPr>
          <w:rFonts w:cs="Arial"/>
          <w:sz w:val="22"/>
          <w:szCs w:val="22"/>
        </w:rPr>
        <w:t>future leader</w:t>
      </w:r>
      <w:r w:rsidRPr="00743FE6">
        <w:rPr>
          <w:rFonts w:cs="Arial"/>
          <w:sz w:val="22"/>
          <w:szCs w:val="22"/>
        </w:rPr>
        <w:t xml:space="preserve"> </w:t>
      </w:r>
      <w:r w:rsidR="00274C49">
        <w:rPr>
          <w:rFonts w:cs="Arial"/>
          <w:sz w:val="22"/>
          <w:szCs w:val="22"/>
        </w:rPr>
        <w:t>in</w:t>
      </w:r>
      <w:r w:rsidRPr="00743FE6">
        <w:rPr>
          <w:rFonts w:cs="Arial"/>
          <w:sz w:val="22"/>
          <w:szCs w:val="22"/>
        </w:rPr>
        <w:t xml:space="preserve"> sustainability. CSH scholarship programmes typically attract highly able candidates and provide a unique opportunity to learn about healthcare systems from a different perspective, while developing skills </w:t>
      </w:r>
      <w:r w:rsidR="00274C49">
        <w:rPr>
          <w:rFonts w:cs="Arial"/>
          <w:sz w:val="22"/>
          <w:szCs w:val="22"/>
        </w:rPr>
        <w:t xml:space="preserve">in </w:t>
      </w:r>
      <w:r w:rsidRPr="00743FE6">
        <w:rPr>
          <w:rFonts w:cs="Arial"/>
          <w:sz w:val="22"/>
          <w:szCs w:val="22"/>
        </w:rPr>
        <w:t>service improvement, com</w:t>
      </w:r>
      <w:r w:rsidR="00274C49">
        <w:rPr>
          <w:rFonts w:cs="Arial"/>
          <w:sz w:val="22"/>
          <w:szCs w:val="22"/>
        </w:rPr>
        <w:t>missioning, policy development,</w:t>
      </w:r>
      <w:r w:rsidR="00274C49" w:rsidRPr="00743FE6">
        <w:rPr>
          <w:rFonts w:cs="Arial"/>
          <w:sz w:val="22"/>
          <w:szCs w:val="22"/>
        </w:rPr>
        <w:t xml:space="preserve"> leadership, </w:t>
      </w:r>
      <w:r w:rsidRPr="00743FE6">
        <w:rPr>
          <w:rFonts w:cs="Arial"/>
          <w:sz w:val="22"/>
          <w:szCs w:val="22"/>
        </w:rPr>
        <w:t>and public speaking.</w:t>
      </w:r>
    </w:p>
    <w:p w14:paraId="0F86FECD" w14:textId="77777777" w:rsidR="00BB2813" w:rsidRDefault="00BB2813" w:rsidP="00BB2813">
      <w:pPr>
        <w:spacing w:after="120"/>
        <w:jc w:val="both"/>
        <w:rPr>
          <w:sz w:val="22"/>
          <w:szCs w:val="22"/>
        </w:rPr>
      </w:pPr>
    </w:p>
    <w:p w14:paraId="4E763106" w14:textId="0B9B7429" w:rsidR="00BB2813" w:rsidRPr="00896A84" w:rsidRDefault="00BB2813" w:rsidP="00BB2813">
      <w:pPr>
        <w:spacing w:after="120"/>
        <w:jc w:val="both"/>
        <w:rPr>
          <w:sz w:val="22"/>
          <w:szCs w:val="22"/>
        </w:rPr>
      </w:pPr>
      <w:r w:rsidRPr="00896A84">
        <w:rPr>
          <w:sz w:val="22"/>
          <w:szCs w:val="22"/>
        </w:rPr>
        <w:t xml:space="preserve">CSH will provide formal training (3 face-to-face training days), individual mentoring and project support. </w:t>
      </w:r>
      <w:r w:rsidR="00CD2764">
        <w:rPr>
          <w:sz w:val="22"/>
          <w:szCs w:val="22"/>
        </w:rPr>
        <w:t xml:space="preserve">The </w:t>
      </w:r>
      <w:r w:rsidRPr="00896A84">
        <w:rPr>
          <w:sz w:val="22"/>
          <w:szCs w:val="22"/>
        </w:rPr>
        <w:t xml:space="preserve">Scholar will take part in a well-established training programme with resources and learning templates. </w:t>
      </w:r>
      <w:r w:rsidR="00CD2764">
        <w:rPr>
          <w:sz w:val="22"/>
          <w:szCs w:val="22"/>
        </w:rPr>
        <w:t>He/she</w:t>
      </w:r>
      <w:r w:rsidRPr="00896A84">
        <w:rPr>
          <w:sz w:val="22"/>
          <w:szCs w:val="22"/>
        </w:rPr>
        <w:t xml:space="preserve"> will also </w:t>
      </w:r>
      <w:proofErr w:type="gramStart"/>
      <w:r w:rsidRPr="00896A84">
        <w:rPr>
          <w:sz w:val="22"/>
          <w:szCs w:val="22"/>
        </w:rPr>
        <w:t>have the opportunity to</w:t>
      </w:r>
      <w:proofErr w:type="gramEnd"/>
      <w:r w:rsidRPr="00896A84">
        <w:rPr>
          <w:sz w:val="22"/>
          <w:szCs w:val="22"/>
        </w:rPr>
        <w:t xml:space="preserve"> participate in </w:t>
      </w:r>
      <w:r>
        <w:rPr>
          <w:sz w:val="22"/>
          <w:szCs w:val="22"/>
        </w:rPr>
        <w:t xml:space="preserve">CSH’s </w:t>
      </w:r>
      <w:r w:rsidRPr="00896A84">
        <w:rPr>
          <w:sz w:val="22"/>
          <w:szCs w:val="22"/>
        </w:rPr>
        <w:t>sustainability network</w:t>
      </w:r>
      <w:r>
        <w:rPr>
          <w:sz w:val="22"/>
          <w:szCs w:val="22"/>
        </w:rPr>
        <w:t>s</w:t>
      </w:r>
      <w:r w:rsidRPr="00896A84">
        <w:rPr>
          <w:sz w:val="22"/>
          <w:szCs w:val="22"/>
        </w:rPr>
        <w:t xml:space="preserve"> and engage with a wider group of </w:t>
      </w:r>
      <w:r>
        <w:rPr>
          <w:sz w:val="22"/>
          <w:szCs w:val="22"/>
        </w:rPr>
        <w:t>professionals from across different specialties and backgrounds.</w:t>
      </w:r>
      <w:r w:rsidRPr="00896A84">
        <w:rPr>
          <w:sz w:val="22"/>
          <w:szCs w:val="22"/>
        </w:rPr>
        <w:t xml:space="preserve"> </w:t>
      </w:r>
    </w:p>
    <w:p w14:paraId="749DA0C4" w14:textId="7F840A97" w:rsidR="00E84C4D" w:rsidRPr="003F0AA0" w:rsidRDefault="00BB2813" w:rsidP="007C0CF0">
      <w:pPr>
        <w:spacing w:after="120"/>
        <w:jc w:val="both"/>
        <w:rPr>
          <w:sz w:val="22"/>
          <w:szCs w:val="22"/>
        </w:rPr>
      </w:pPr>
      <w:r w:rsidRPr="00896A84">
        <w:rPr>
          <w:sz w:val="22"/>
          <w:szCs w:val="22"/>
        </w:rPr>
        <w:t>Ideally</w:t>
      </w:r>
      <w:r w:rsidR="008D2CE2">
        <w:rPr>
          <w:sz w:val="22"/>
          <w:szCs w:val="22"/>
        </w:rPr>
        <w:t>,</w:t>
      </w:r>
      <w:r w:rsidRPr="00896A84">
        <w:rPr>
          <w:sz w:val="22"/>
          <w:szCs w:val="22"/>
        </w:rPr>
        <w:t xml:space="preserve"> additionally funded time </w:t>
      </w:r>
      <w:r w:rsidR="008D2CE2">
        <w:rPr>
          <w:sz w:val="22"/>
          <w:szCs w:val="22"/>
        </w:rPr>
        <w:t xml:space="preserve">of one day per week </w:t>
      </w:r>
      <w:r w:rsidRPr="00896A84">
        <w:rPr>
          <w:sz w:val="22"/>
          <w:szCs w:val="22"/>
        </w:rPr>
        <w:t xml:space="preserve">would be created for </w:t>
      </w:r>
      <w:r w:rsidR="00CD2764">
        <w:rPr>
          <w:sz w:val="22"/>
          <w:szCs w:val="22"/>
        </w:rPr>
        <w:t xml:space="preserve">the </w:t>
      </w:r>
      <w:r>
        <w:rPr>
          <w:sz w:val="22"/>
          <w:szCs w:val="22"/>
        </w:rPr>
        <w:t>scholar</w:t>
      </w:r>
      <w:r w:rsidRPr="00896A84">
        <w:rPr>
          <w:sz w:val="22"/>
          <w:szCs w:val="22"/>
        </w:rPr>
        <w:t xml:space="preserve"> to pursue their scholarships. However, CSH recognises the need to fit in with existing programmes and resource constraints</w:t>
      </w:r>
      <w:r w:rsidR="008D2CE2">
        <w:rPr>
          <w:sz w:val="22"/>
          <w:szCs w:val="22"/>
        </w:rPr>
        <w:t>.</w:t>
      </w:r>
    </w:p>
    <w:p w14:paraId="518F73A5" w14:textId="77777777" w:rsidR="00CD2764" w:rsidRDefault="00CD2764" w:rsidP="007C0CF0">
      <w:pPr>
        <w:rPr>
          <w:sz w:val="22"/>
          <w:szCs w:val="22"/>
        </w:rPr>
      </w:pPr>
    </w:p>
    <w:p w14:paraId="0E292C2F" w14:textId="50A47E55" w:rsidR="00CF2F83" w:rsidRDefault="00BB2813" w:rsidP="007C0CF0">
      <w:r w:rsidRPr="007C0CF0">
        <w:rPr>
          <w:sz w:val="22"/>
          <w:szCs w:val="22"/>
        </w:rPr>
        <w:lastRenderedPageBreak/>
        <w:t xml:space="preserve">Examples </w:t>
      </w:r>
      <w:r w:rsidR="00777245" w:rsidRPr="007C0CF0">
        <w:rPr>
          <w:sz w:val="22"/>
          <w:szCs w:val="22"/>
        </w:rPr>
        <w:t xml:space="preserve">of previous work undertaken by scholars </w:t>
      </w:r>
      <w:r w:rsidR="00037636">
        <w:rPr>
          <w:sz w:val="22"/>
          <w:szCs w:val="22"/>
        </w:rPr>
        <w:t>include</w:t>
      </w:r>
      <w:r w:rsidR="00777245" w:rsidRPr="007C0CF0">
        <w:rPr>
          <w:sz w:val="22"/>
          <w:szCs w:val="22"/>
        </w:rPr>
        <w:t>:</w:t>
      </w:r>
      <w:r w:rsidR="00CF2F83" w:rsidRPr="00CF2F83">
        <w:t xml:space="preserve"> </w:t>
      </w:r>
    </w:p>
    <w:p w14:paraId="26088DC9" w14:textId="77777777" w:rsidR="00CF2F83" w:rsidRDefault="00CF2F83" w:rsidP="007C0CF0"/>
    <w:p w14:paraId="07FFD26D" w14:textId="77777777" w:rsidR="00CF2F83" w:rsidRDefault="00CF2F83" w:rsidP="007C0CF0">
      <w:pPr>
        <w:pStyle w:val="ListParagraph"/>
        <w:numPr>
          <w:ilvl w:val="0"/>
          <w:numId w:val="17"/>
        </w:numPr>
        <w:rPr>
          <w:sz w:val="22"/>
          <w:szCs w:val="22"/>
        </w:rPr>
      </w:pPr>
      <w:r w:rsidRPr="007C0CF0">
        <w:rPr>
          <w:sz w:val="22"/>
          <w:szCs w:val="22"/>
        </w:rPr>
        <w:t>Developing sustainable quality improvement in practice leading to projects, e.g. on streamlining pre-op care pathways, staff and patient empowerment in dementia care, health promotion on a psychiatric inpatient ward</w:t>
      </w:r>
    </w:p>
    <w:p w14:paraId="300CE78C" w14:textId="77777777" w:rsidR="00CF2F83" w:rsidRDefault="00CF2F83" w:rsidP="007C0CF0">
      <w:pPr>
        <w:pStyle w:val="ListParagraph"/>
        <w:numPr>
          <w:ilvl w:val="0"/>
          <w:numId w:val="17"/>
        </w:numPr>
        <w:rPr>
          <w:sz w:val="22"/>
          <w:szCs w:val="22"/>
        </w:rPr>
      </w:pPr>
      <w:r w:rsidRPr="007C0CF0">
        <w:rPr>
          <w:sz w:val="22"/>
          <w:szCs w:val="22"/>
        </w:rPr>
        <w:t>Developing a sustainability service review framework for mental health services</w:t>
      </w:r>
    </w:p>
    <w:p w14:paraId="359582B9" w14:textId="77777777" w:rsidR="00CF2F83" w:rsidRDefault="00CF2F83" w:rsidP="007C0CF0">
      <w:pPr>
        <w:pStyle w:val="ListParagraph"/>
        <w:numPr>
          <w:ilvl w:val="0"/>
          <w:numId w:val="17"/>
        </w:numPr>
        <w:rPr>
          <w:sz w:val="22"/>
          <w:szCs w:val="22"/>
        </w:rPr>
      </w:pPr>
      <w:r w:rsidRPr="007C0CF0">
        <w:rPr>
          <w:sz w:val="22"/>
          <w:szCs w:val="22"/>
        </w:rPr>
        <w:t>Developing an e-learning resource on sustainable dentistry</w:t>
      </w:r>
    </w:p>
    <w:p w14:paraId="397B4EAE" w14:textId="13BA0E95" w:rsidR="00CF2F83" w:rsidRDefault="00CF2F83" w:rsidP="007C0CF0">
      <w:pPr>
        <w:pStyle w:val="ListParagraph"/>
        <w:numPr>
          <w:ilvl w:val="0"/>
          <w:numId w:val="17"/>
        </w:numPr>
        <w:rPr>
          <w:sz w:val="22"/>
          <w:szCs w:val="22"/>
        </w:rPr>
      </w:pPr>
      <w:r w:rsidRPr="007C0CF0">
        <w:rPr>
          <w:sz w:val="22"/>
          <w:szCs w:val="22"/>
        </w:rPr>
        <w:t xml:space="preserve">Teaching about sustainability and publishing articles in </w:t>
      </w:r>
      <w:r w:rsidR="005343FD">
        <w:rPr>
          <w:sz w:val="22"/>
          <w:szCs w:val="22"/>
        </w:rPr>
        <w:t>specialty journals</w:t>
      </w:r>
    </w:p>
    <w:p w14:paraId="4BDA5696" w14:textId="77777777" w:rsidR="00AE7FCC" w:rsidRDefault="00AE7FCC" w:rsidP="00AE7FCC">
      <w:pPr>
        <w:pStyle w:val="ListParagraph"/>
        <w:numPr>
          <w:ilvl w:val="0"/>
          <w:numId w:val="17"/>
        </w:numPr>
        <w:rPr>
          <w:sz w:val="22"/>
          <w:szCs w:val="22"/>
        </w:rPr>
      </w:pPr>
      <w:r>
        <w:rPr>
          <w:sz w:val="22"/>
          <w:szCs w:val="22"/>
        </w:rPr>
        <w:t>Introducing video consultations for patients placed in remote mental health facilities</w:t>
      </w:r>
    </w:p>
    <w:p w14:paraId="2CE8D68F" w14:textId="65E81473" w:rsidR="0027056D" w:rsidRPr="00E51BE7" w:rsidRDefault="0027056D" w:rsidP="0027056D">
      <w:pPr>
        <w:pStyle w:val="ListParagraph"/>
        <w:numPr>
          <w:ilvl w:val="0"/>
          <w:numId w:val="17"/>
        </w:numPr>
        <w:spacing w:before="240" w:after="120"/>
        <w:jc w:val="both"/>
        <w:rPr>
          <w:sz w:val="22"/>
        </w:rPr>
      </w:pPr>
      <w:r w:rsidRPr="00E51BE7">
        <w:rPr>
          <w:sz w:val="22"/>
        </w:rPr>
        <w:t>Developing an online evidence-based toolkit for sustainable action in general practice (Green Impact for Health)</w:t>
      </w:r>
    </w:p>
    <w:p w14:paraId="1A51A3BE" w14:textId="5DC6932A" w:rsidR="00CF2F83" w:rsidRDefault="00CF2F83" w:rsidP="007C0CF0">
      <w:pPr>
        <w:pStyle w:val="ListParagraph"/>
        <w:numPr>
          <w:ilvl w:val="0"/>
          <w:numId w:val="17"/>
        </w:numPr>
        <w:rPr>
          <w:sz w:val="22"/>
          <w:szCs w:val="22"/>
        </w:rPr>
      </w:pPr>
      <w:r w:rsidRPr="007C0CF0">
        <w:rPr>
          <w:sz w:val="22"/>
          <w:szCs w:val="22"/>
        </w:rPr>
        <w:t>Conducting a study of patients’ attitudes towards inhalers used in the treatment of COPD and asthma</w:t>
      </w:r>
    </w:p>
    <w:p w14:paraId="4FE9FE35" w14:textId="77777777" w:rsidR="003F0AA0" w:rsidRPr="003F0AA0" w:rsidRDefault="003F0AA0" w:rsidP="003F0AA0">
      <w:pPr>
        <w:rPr>
          <w:sz w:val="22"/>
          <w:szCs w:val="22"/>
        </w:rPr>
      </w:pPr>
    </w:p>
    <w:p w14:paraId="16EAEDC5" w14:textId="5D58086B" w:rsidR="00C6076F" w:rsidRPr="00E51BE7" w:rsidRDefault="00266A19" w:rsidP="00037636">
      <w:pPr>
        <w:spacing w:before="120" w:after="120"/>
        <w:jc w:val="both"/>
        <w:rPr>
          <w:rFonts w:asciiTheme="majorHAnsi" w:hAnsiTheme="majorHAnsi"/>
          <w:b/>
        </w:rPr>
      </w:pPr>
      <w:r w:rsidRPr="00E51BE7">
        <w:rPr>
          <w:rFonts w:asciiTheme="majorHAnsi" w:hAnsiTheme="majorHAnsi"/>
          <w:b/>
        </w:rPr>
        <w:t>Benefits</w:t>
      </w:r>
    </w:p>
    <w:p w14:paraId="3FF07B6A" w14:textId="3B997E7C" w:rsidR="00650CB3" w:rsidRDefault="00CD2764" w:rsidP="00743FE6">
      <w:pPr>
        <w:spacing w:after="120"/>
        <w:jc w:val="both"/>
        <w:rPr>
          <w:rFonts w:cs="Arial"/>
          <w:sz w:val="22"/>
          <w:szCs w:val="22"/>
        </w:rPr>
      </w:pPr>
      <w:r>
        <w:rPr>
          <w:rFonts w:cs="Arial"/>
          <w:i/>
          <w:sz w:val="22"/>
          <w:szCs w:val="22"/>
        </w:rPr>
        <w:t xml:space="preserve">The </w:t>
      </w:r>
      <w:r w:rsidR="00650CB3">
        <w:rPr>
          <w:rFonts w:cs="Arial"/>
          <w:i/>
          <w:sz w:val="22"/>
          <w:szCs w:val="22"/>
        </w:rPr>
        <w:t xml:space="preserve">CCG </w:t>
      </w:r>
      <w:r w:rsidR="00650CB3" w:rsidRPr="00650CB3">
        <w:rPr>
          <w:rFonts w:cs="Arial"/>
          <w:sz w:val="22"/>
          <w:szCs w:val="22"/>
        </w:rPr>
        <w:t>will benefit</w:t>
      </w:r>
      <w:r w:rsidR="00650CB3">
        <w:rPr>
          <w:rFonts w:cs="Arial"/>
          <w:sz w:val="22"/>
          <w:szCs w:val="22"/>
        </w:rPr>
        <w:t xml:space="preserve"> from </w:t>
      </w:r>
      <w:r>
        <w:rPr>
          <w:rFonts w:cs="Arial"/>
          <w:sz w:val="22"/>
          <w:szCs w:val="22"/>
        </w:rPr>
        <w:t xml:space="preserve">the scholar’s project which will lead to </w:t>
      </w:r>
      <w:r w:rsidR="00650CB3">
        <w:rPr>
          <w:rFonts w:cs="Arial"/>
          <w:sz w:val="22"/>
          <w:szCs w:val="22"/>
        </w:rPr>
        <w:t>improvement</w:t>
      </w:r>
      <w:r>
        <w:rPr>
          <w:rFonts w:cs="Arial"/>
          <w:sz w:val="22"/>
          <w:szCs w:val="22"/>
        </w:rPr>
        <w:t xml:space="preserve"> in commissioning and service provision</w:t>
      </w:r>
      <w:r w:rsidR="00650CB3">
        <w:rPr>
          <w:rFonts w:cs="Arial"/>
          <w:sz w:val="22"/>
          <w:szCs w:val="22"/>
        </w:rPr>
        <w:t>. In many case</w:t>
      </w:r>
      <w:r>
        <w:rPr>
          <w:rFonts w:cs="Arial"/>
          <w:sz w:val="22"/>
          <w:szCs w:val="22"/>
        </w:rPr>
        <w:t>s</w:t>
      </w:r>
      <w:r w:rsidR="00650CB3">
        <w:rPr>
          <w:rFonts w:cs="Arial"/>
          <w:sz w:val="22"/>
          <w:szCs w:val="22"/>
        </w:rPr>
        <w:t xml:space="preserve"> improvement in sustainability leads to a reduction in costs</w:t>
      </w:r>
      <w:r w:rsidR="00475C20">
        <w:rPr>
          <w:rFonts w:cs="Arial"/>
          <w:sz w:val="22"/>
          <w:szCs w:val="22"/>
        </w:rPr>
        <w:t xml:space="preserve"> through a more sustainable resource use</w:t>
      </w:r>
      <w:r w:rsidR="00650CB3">
        <w:rPr>
          <w:rFonts w:cs="Arial"/>
          <w:sz w:val="22"/>
          <w:szCs w:val="22"/>
        </w:rPr>
        <w:t>.</w:t>
      </w:r>
    </w:p>
    <w:p w14:paraId="51229EF7" w14:textId="77777777" w:rsidR="00475C20" w:rsidRDefault="00475C20" w:rsidP="00475C20">
      <w:pPr>
        <w:spacing w:after="120"/>
        <w:jc w:val="both"/>
        <w:rPr>
          <w:rFonts w:cs="Arial"/>
          <w:sz w:val="22"/>
          <w:szCs w:val="22"/>
        </w:rPr>
      </w:pPr>
      <w:r w:rsidRPr="00743FE6">
        <w:rPr>
          <w:rFonts w:cs="Arial"/>
          <w:i/>
          <w:sz w:val="22"/>
          <w:szCs w:val="22"/>
        </w:rPr>
        <w:t xml:space="preserve">Patients and society </w:t>
      </w:r>
      <w:r w:rsidRPr="00743FE6">
        <w:rPr>
          <w:rFonts w:cs="Arial"/>
          <w:sz w:val="22"/>
          <w:szCs w:val="22"/>
        </w:rPr>
        <w:t xml:space="preserve">will benefit from service changes designed to increase value from resources and from greater focus on prevention and engaging them to improve their healthcare. </w:t>
      </w:r>
    </w:p>
    <w:p w14:paraId="7025175D" w14:textId="4F295B63" w:rsidR="001973B9" w:rsidRPr="00743FE6" w:rsidRDefault="004F7128" w:rsidP="00743FE6">
      <w:pPr>
        <w:spacing w:after="120"/>
        <w:jc w:val="both"/>
        <w:rPr>
          <w:rFonts w:cs="Arial"/>
          <w:sz w:val="22"/>
          <w:szCs w:val="22"/>
        </w:rPr>
      </w:pPr>
      <w:r>
        <w:rPr>
          <w:rFonts w:cs="Arial"/>
          <w:i/>
          <w:sz w:val="22"/>
          <w:szCs w:val="22"/>
        </w:rPr>
        <w:t>Health</w:t>
      </w:r>
      <w:r w:rsidR="001973B9" w:rsidRPr="00743FE6">
        <w:rPr>
          <w:rFonts w:cs="Arial"/>
          <w:i/>
          <w:sz w:val="22"/>
          <w:szCs w:val="22"/>
        </w:rPr>
        <w:t xml:space="preserve">care </w:t>
      </w:r>
      <w:r w:rsidR="001973B9" w:rsidRPr="00743FE6">
        <w:rPr>
          <w:rFonts w:cs="Arial"/>
          <w:sz w:val="22"/>
          <w:szCs w:val="22"/>
        </w:rPr>
        <w:t xml:space="preserve">will benefit from the development of </w:t>
      </w:r>
      <w:r w:rsidR="00CD2764">
        <w:rPr>
          <w:rFonts w:cs="Arial"/>
          <w:sz w:val="22"/>
          <w:szCs w:val="22"/>
        </w:rPr>
        <w:t>a health professional</w:t>
      </w:r>
      <w:r w:rsidR="001973B9" w:rsidRPr="00743FE6">
        <w:rPr>
          <w:rFonts w:cs="Arial"/>
          <w:sz w:val="22"/>
          <w:szCs w:val="22"/>
        </w:rPr>
        <w:t xml:space="preserve"> with skills in innovation and leadership, who will act as </w:t>
      </w:r>
      <w:r w:rsidR="00CD2764">
        <w:rPr>
          <w:rFonts w:cs="Arial"/>
          <w:sz w:val="22"/>
          <w:szCs w:val="22"/>
        </w:rPr>
        <w:t>an ambassador</w:t>
      </w:r>
      <w:r w:rsidR="001973B9" w:rsidRPr="00743FE6">
        <w:rPr>
          <w:rFonts w:cs="Arial"/>
          <w:sz w:val="22"/>
          <w:szCs w:val="22"/>
        </w:rPr>
        <w:t xml:space="preserve"> for sustainable, high value healthcare. Staff engagement in innovation and resource stewardship will foster a greater understanding of the environmental, social and financial burdens of providing care.</w:t>
      </w:r>
    </w:p>
    <w:p w14:paraId="3ACC8352" w14:textId="77777777" w:rsidR="00650CB3" w:rsidRPr="00743FE6" w:rsidRDefault="00650CB3" w:rsidP="00650CB3">
      <w:pPr>
        <w:spacing w:after="120"/>
        <w:jc w:val="both"/>
        <w:rPr>
          <w:rFonts w:cs="Arial"/>
          <w:sz w:val="22"/>
          <w:szCs w:val="22"/>
        </w:rPr>
      </w:pPr>
      <w:r w:rsidRPr="00743FE6">
        <w:rPr>
          <w:rFonts w:cs="Arial"/>
          <w:i/>
          <w:sz w:val="22"/>
          <w:szCs w:val="22"/>
        </w:rPr>
        <w:t xml:space="preserve">Scholars </w:t>
      </w:r>
      <w:r w:rsidRPr="00743FE6">
        <w:rPr>
          <w:rFonts w:cs="Arial"/>
          <w:sz w:val="22"/>
          <w:szCs w:val="22"/>
        </w:rPr>
        <w:t xml:space="preserve">will gain the opportunity to learn about an important and evolving dimension of healthcare, develop skills in leadership and service </w:t>
      </w:r>
      <w:r>
        <w:rPr>
          <w:rFonts w:cs="Arial"/>
          <w:sz w:val="22"/>
          <w:szCs w:val="22"/>
        </w:rPr>
        <w:t>improvement</w:t>
      </w:r>
      <w:r w:rsidRPr="00743FE6">
        <w:rPr>
          <w:rFonts w:cs="Arial"/>
          <w:sz w:val="22"/>
          <w:szCs w:val="22"/>
        </w:rPr>
        <w:t xml:space="preserve">, and contribute to </w:t>
      </w:r>
      <w:r>
        <w:rPr>
          <w:rFonts w:cs="Arial"/>
          <w:sz w:val="22"/>
          <w:szCs w:val="22"/>
        </w:rPr>
        <w:t xml:space="preserve">local and </w:t>
      </w:r>
      <w:r w:rsidRPr="00743FE6">
        <w:rPr>
          <w:rFonts w:cs="Arial"/>
          <w:sz w:val="22"/>
          <w:szCs w:val="22"/>
        </w:rPr>
        <w:t>strategic initiatives to promote sustainable resource use.</w:t>
      </w:r>
    </w:p>
    <w:p w14:paraId="44A6C1BC" w14:textId="77777777" w:rsidR="00650CB3" w:rsidRPr="00743FE6" w:rsidRDefault="00650CB3" w:rsidP="00743FE6">
      <w:pPr>
        <w:spacing w:after="120"/>
        <w:jc w:val="both"/>
        <w:rPr>
          <w:rFonts w:cs="Arial"/>
          <w:sz w:val="22"/>
          <w:szCs w:val="22"/>
        </w:rPr>
      </w:pPr>
    </w:p>
    <w:p w14:paraId="459E273C" w14:textId="77777777" w:rsidR="007F793A" w:rsidRPr="00E51BE7" w:rsidRDefault="007F793A" w:rsidP="00037636">
      <w:pPr>
        <w:spacing w:before="120" w:after="120"/>
        <w:rPr>
          <w:rFonts w:asciiTheme="majorHAnsi" w:hAnsiTheme="majorHAnsi"/>
          <w:b/>
        </w:rPr>
      </w:pPr>
      <w:r w:rsidRPr="00E51BE7">
        <w:rPr>
          <w:rFonts w:asciiTheme="majorHAnsi" w:hAnsiTheme="majorHAnsi"/>
          <w:b/>
        </w:rPr>
        <w:t>Partners</w:t>
      </w:r>
    </w:p>
    <w:p w14:paraId="33CB0656" w14:textId="4CEBDB51" w:rsidR="007F793A" w:rsidRPr="007C0CF0" w:rsidRDefault="007F793A" w:rsidP="00992305">
      <w:pPr>
        <w:spacing w:before="240" w:after="120"/>
        <w:rPr>
          <w:i/>
          <w:sz w:val="22"/>
          <w:szCs w:val="22"/>
        </w:rPr>
      </w:pPr>
      <w:r w:rsidRPr="007C0CF0">
        <w:rPr>
          <w:i/>
          <w:sz w:val="22"/>
          <w:szCs w:val="22"/>
        </w:rPr>
        <w:t>The Centre for Sustainable Healthcare</w:t>
      </w:r>
      <w:r w:rsidR="00146196">
        <w:rPr>
          <w:i/>
          <w:sz w:val="22"/>
          <w:szCs w:val="22"/>
        </w:rPr>
        <w:t xml:space="preserve"> (CSH)</w:t>
      </w:r>
    </w:p>
    <w:p w14:paraId="6494031A" w14:textId="0499030D" w:rsidR="00146196" w:rsidRDefault="00146196" w:rsidP="00146196">
      <w:pPr>
        <w:spacing w:after="120"/>
        <w:jc w:val="both"/>
        <w:rPr>
          <w:sz w:val="22"/>
          <w:szCs w:val="22"/>
        </w:rPr>
      </w:pPr>
      <w:r>
        <w:rPr>
          <w:sz w:val="22"/>
        </w:rPr>
        <w:t>A</w:t>
      </w:r>
      <w:r w:rsidR="005343FD">
        <w:rPr>
          <w:sz w:val="22"/>
        </w:rPr>
        <w:t>n independent charity,</w:t>
      </w:r>
      <w:r w:rsidR="005343FD" w:rsidRPr="00743FE6">
        <w:rPr>
          <w:sz w:val="22"/>
        </w:rPr>
        <w:t xml:space="preserve"> </w:t>
      </w:r>
      <w:r>
        <w:rPr>
          <w:sz w:val="22"/>
        </w:rPr>
        <w:t xml:space="preserve">CSH </w:t>
      </w:r>
      <w:r w:rsidR="005343FD" w:rsidRPr="00743FE6">
        <w:rPr>
          <w:sz w:val="22"/>
        </w:rPr>
        <w:t xml:space="preserve">has been leading efforts to incorporate the values of environmental sustainability into the health sector since its establishment in 2008. It has a </w:t>
      </w:r>
      <w:proofErr w:type="gramStart"/>
      <w:r w:rsidR="005343FD" w:rsidRPr="00743FE6">
        <w:rPr>
          <w:sz w:val="22"/>
        </w:rPr>
        <w:t>particu</w:t>
      </w:r>
      <w:r w:rsidR="005343FD">
        <w:rPr>
          <w:sz w:val="22"/>
        </w:rPr>
        <w:t>lar focus</w:t>
      </w:r>
      <w:proofErr w:type="gramEnd"/>
      <w:r w:rsidR="005343FD">
        <w:rPr>
          <w:sz w:val="22"/>
        </w:rPr>
        <w:t xml:space="preserve"> on engaging those in the front-line of patient care and</w:t>
      </w:r>
      <w:r w:rsidR="005343FD" w:rsidRPr="00743FE6">
        <w:rPr>
          <w:sz w:val="22"/>
        </w:rPr>
        <w:t xml:space="preserve"> promoting the concept of “sustainable clinical practice”</w:t>
      </w:r>
      <w:r w:rsidR="005343FD">
        <w:rPr>
          <w:sz w:val="22"/>
        </w:rPr>
        <w:t xml:space="preserve"> </w:t>
      </w:r>
      <w:r w:rsidR="005343FD" w:rsidRPr="003D3017">
        <w:rPr>
          <w:sz w:val="22"/>
          <w:szCs w:val="22"/>
        </w:rPr>
        <w:t xml:space="preserve">and </w:t>
      </w:r>
      <w:r w:rsidR="003D3017">
        <w:rPr>
          <w:sz w:val="22"/>
          <w:szCs w:val="22"/>
        </w:rPr>
        <w:t>has developed a “</w:t>
      </w:r>
      <w:proofErr w:type="spellStart"/>
      <w:r w:rsidR="003D3017">
        <w:rPr>
          <w:sz w:val="22"/>
          <w:szCs w:val="22"/>
        </w:rPr>
        <w:t>SusQI</w:t>
      </w:r>
      <w:proofErr w:type="spellEnd"/>
      <w:r w:rsidR="003D3017">
        <w:rPr>
          <w:sz w:val="22"/>
          <w:szCs w:val="22"/>
        </w:rPr>
        <w:t xml:space="preserve">” framework for integrating sustainability into Quality Improvement methodology. </w:t>
      </w:r>
    </w:p>
    <w:p w14:paraId="553214DE" w14:textId="09535B6C" w:rsidR="003D3017" w:rsidRDefault="003D3017" w:rsidP="00146196">
      <w:pPr>
        <w:spacing w:after="120"/>
        <w:jc w:val="both"/>
        <w:rPr>
          <w:sz w:val="22"/>
          <w:szCs w:val="22"/>
        </w:rPr>
      </w:pPr>
      <w:r>
        <w:rPr>
          <w:sz w:val="22"/>
          <w:szCs w:val="22"/>
        </w:rPr>
        <w:t xml:space="preserve">CSH </w:t>
      </w:r>
      <w:r w:rsidR="005343FD" w:rsidRPr="003D3017">
        <w:rPr>
          <w:rFonts w:cs="Arial"/>
          <w:sz w:val="22"/>
          <w:szCs w:val="22"/>
        </w:rPr>
        <w:t>is respected nationally for a specialty-led approach combining research with support for local change, underpinned by wider engagement with patients, and relevant industry and clinical bodies</w:t>
      </w:r>
      <w:r w:rsidR="00146196">
        <w:rPr>
          <w:sz w:val="22"/>
          <w:szCs w:val="22"/>
        </w:rPr>
        <w:t>. As part of this programme, CSH has partnered</w:t>
      </w:r>
      <w:r>
        <w:rPr>
          <w:sz w:val="22"/>
          <w:szCs w:val="22"/>
        </w:rPr>
        <w:t xml:space="preserve"> with HEE regional bodi</w:t>
      </w:r>
      <w:r w:rsidR="00146196">
        <w:rPr>
          <w:sz w:val="22"/>
          <w:szCs w:val="22"/>
        </w:rPr>
        <w:t xml:space="preserve">es and specialty organisations to </w:t>
      </w:r>
      <w:r w:rsidR="003F0AA0">
        <w:rPr>
          <w:sz w:val="22"/>
          <w:szCs w:val="22"/>
        </w:rPr>
        <w:t>create</w:t>
      </w:r>
      <w:r>
        <w:rPr>
          <w:sz w:val="22"/>
          <w:szCs w:val="22"/>
        </w:rPr>
        <w:t xml:space="preserve"> Sustainability Scholar roles, and currently manages scholars in psychiatry, dentistry and general practice.</w:t>
      </w:r>
    </w:p>
    <w:p w14:paraId="7E5E8FAF" w14:textId="5B2D936B" w:rsidR="005343FD" w:rsidRPr="00AA3712" w:rsidRDefault="005343FD" w:rsidP="00146196">
      <w:pPr>
        <w:spacing w:before="240" w:after="120"/>
        <w:ind w:left="450"/>
        <w:jc w:val="both"/>
        <w:rPr>
          <w:rFonts w:asciiTheme="majorHAnsi" w:hAnsiTheme="majorHAnsi" w:cs="Arial"/>
          <w:color w:val="1F4E79" w:themeColor="accent1" w:themeShade="80"/>
          <w:sz w:val="22"/>
        </w:rPr>
      </w:pPr>
      <w:r w:rsidRPr="00AA3712">
        <w:rPr>
          <w:rFonts w:asciiTheme="majorHAnsi" w:hAnsiTheme="majorHAnsi" w:cs="Arial"/>
          <w:color w:val="1F4E79" w:themeColor="accent1" w:themeShade="80"/>
          <w:sz w:val="22"/>
        </w:rPr>
        <w:t>"The Centre for Sustainable Healthcare supports clinicians to take a leading role in galvanising co-ordinated, systematic and evidence based action for sustainable healthcare.</w:t>
      </w:r>
    </w:p>
    <w:p w14:paraId="0CBB304D" w14:textId="77777777" w:rsidR="005343FD" w:rsidRPr="00AA3712" w:rsidRDefault="005343FD" w:rsidP="00146196">
      <w:pPr>
        <w:spacing w:after="120"/>
        <w:ind w:left="450"/>
        <w:jc w:val="both"/>
        <w:rPr>
          <w:rFonts w:asciiTheme="majorHAnsi" w:hAnsiTheme="majorHAnsi" w:cs="Arial"/>
          <w:color w:val="1F4E79" w:themeColor="accent1" w:themeShade="80"/>
          <w:sz w:val="22"/>
        </w:rPr>
      </w:pPr>
      <w:r w:rsidRPr="00AA3712">
        <w:rPr>
          <w:rFonts w:asciiTheme="majorHAnsi" w:hAnsiTheme="majorHAnsi" w:cs="Arial"/>
          <w:color w:val="1F4E79" w:themeColor="accent1" w:themeShade="80"/>
          <w:sz w:val="22"/>
        </w:rPr>
        <w:lastRenderedPageBreak/>
        <w:t>Their sustainable specialties programmes and their work in medical education are excellent examples of what clinicians need to help them take exemplary action for tomorrow whilst continuing to deliver high quality care for today."</w:t>
      </w:r>
    </w:p>
    <w:p w14:paraId="0F45D0BA" w14:textId="3C59437A" w:rsidR="005343FD" w:rsidRPr="00146196" w:rsidRDefault="005343FD" w:rsidP="00146196">
      <w:pPr>
        <w:spacing w:after="360"/>
        <w:ind w:left="450"/>
        <w:jc w:val="right"/>
        <w:rPr>
          <w:rFonts w:cs="Arial"/>
          <w:i/>
          <w:color w:val="1F4E79" w:themeColor="accent1" w:themeShade="80"/>
          <w:sz w:val="22"/>
        </w:rPr>
      </w:pPr>
      <w:r w:rsidRPr="00146196">
        <w:rPr>
          <w:rFonts w:asciiTheme="majorHAnsi" w:hAnsiTheme="majorHAnsi" w:cs="Arial"/>
          <w:i/>
          <w:color w:val="1F4E79" w:themeColor="accent1" w:themeShade="80"/>
          <w:sz w:val="21"/>
        </w:rPr>
        <w:t xml:space="preserve">Dr David </w:t>
      </w:r>
      <w:proofErr w:type="spellStart"/>
      <w:r w:rsidRPr="00146196">
        <w:rPr>
          <w:rFonts w:asciiTheme="majorHAnsi" w:hAnsiTheme="majorHAnsi" w:cs="Arial"/>
          <w:i/>
          <w:color w:val="1F4E79" w:themeColor="accent1" w:themeShade="80"/>
          <w:sz w:val="21"/>
        </w:rPr>
        <w:t>Pencheon</w:t>
      </w:r>
      <w:proofErr w:type="spellEnd"/>
      <w:r w:rsidRPr="00146196">
        <w:rPr>
          <w:rFonts w:asciiTheme="majorHAnsi" w:hAnsiTheme="majorHAnsi" w:cs="Arial"/>
          <w:i/>
          <w:color w:val="1F4E79" w:themeColor="accent1" w:themeShade="80"/>
          <w:sz w:val="21"/>
        </w:rPr>
        <w:t>, Director, NHS Sustainable Development Unit</w:t>
      </w:r>
    </w:p>
    <w:p w14:paraId="7348B4F8" w14:textId="7DF544D0" w:rsidR="007F793A" w:rsidRPr="00992305" w:rsidRDefault="00AA3712" w:rsidP="00992305">
      <w:pPr>
        <w:spacing w:after="120"/>
        <w:jc w:val="both"/>
        <w:rPr>
          <w:rFonts w:eastAsia="ヒラギノ角ゴ Pro W3" w:cs="Arial"/>
          <w:color w:val="000000"/>
          <w:sz w:val="22"/>
          <w:szCs w:val="22"/>
        </w:rPr>
      </w:pPr>
      <w:r>
        <w:rPr>
          <w:rFonts w:eastAsia="ヒラギノ角ゴ Pro W3" w:cs="Arial"/>
          <w:color w:val="000000"/>
          <w:sz w:val="22"/>
          <w:szCs w:val="22"/>
        </w:rPr>
        <w:t>C</w:t>
      </w:r>
      <w:r w:rsidR="007F793A" w:rsidRPr="00635815">
        <w:rPr>
          <w:rFonts w:eastAsia="ヒラギノ角ゴ Pro W3" w:cs="Arial"/>
          <w:color w:val="000000"/>
          <w:sz w:val="22"/>
          <w:szCs w:val="22"/>
        </w:rPr>
        <w:t>SH will be responsible for programme management, inclu</w:t>
      </w:r>
      <w:r w:rsidR="001E6E30">
        <w:rPr>
          <w:rFonts w:eastAsia="ヒラギノ角ゴ Pro W3" w:cs="Arial"/>
          <w:color w:val="000000"/>
          <w:sz w:val="22"/>
          <w:szCs w:val="22"/>
        </w:rPr>
        <w:t>ding recruitment of the Scholar</w:t>
      </w:r>
      <w:r w:rsidR="007F793A" w:rsidRPr="00635815">
        <w:rPr>
          <w:rFonts w:eastAsia="ヒラギノ角ゴ Pro W3" w:cs="Arial"/>
          <w:color w:val="000000"/>
          <w:sz w:val="22"/>
          <w:szCs w:val="22"/>
        </w:rPr>
        <w:t>, admin</w:t>
      </w:r>
      <w:r w:rsidR="001E6E30">
        <w:rPr>
          <w:rFonts w:eastAsia="ヒラギノ角ゴ Pro W3" w:cs="Arial"/>
          <w:color w:val="000000"/>
          <w:sz w:val="22"/>
          <w:szCs w:val="22"/>
        </w:rPr>
        <w:t>istration of their study budget</w:t>
      </w:r>
      <w:r w:rsidR="007F793A" w:rsidRPr="00635815">
        <w:rPr>
          <w:rFonts w:eastAsia="ヒラギノ角ゴ Pro W3" w:cs="Arial"/>
          <w:color w:val="000000"/>
          <w:sz w:val="22"/>
          <w:szCs w:val="22"/>
        </w:rPr>
        <w:t xml:space="preserve"> and</w:t>
      </w:r>
      <w:r w:rsidR="001E6E30">
        <w:rPr>
          <w:rFonts w:eastAsia="ヒラギノ角ゴ Pro W3" w:cs="Arial"/>
          <w:color w:val="000000"/>
          <w:sz w:val="22"/>
          <w:szCs w:val="22"/>
        </w:rPr>
        <w:t xml:space="preserve"> liaison with the CCG</w:t>
      </w:r>
      <w:r w:rsidR="007F793A" w:rsidRPr="00635815">
        <w:rPr>
          <w:rFonts w:eastAsia="ヒラギノ角ゴ Pro W3" w:cs="Arial"/>
          <w:color w:val="000000"/>
          <w:sz w:val="22"/>
          <w:szCs w:val="22"/>
        </w:rPr>
        <w:t>. CSH will provide introductory trai</w:t>
      </w:r>
      <w:r w:rsidR="00475C20">
        <w:rPr>
          <w:rFonts w:eastAsia="ヒラギノ角ゴ Pro W3" w:cs="Arial"/>
          <w:color w:val="000000"/>
          <w:sz w:val="22"/>
          <w:szCs w:val="22"/>
        </w:rPr>
        <w:t xml:space="preserve">ning in sustainable healthcare and </w:t>
      </w:r>
      <w:r w:rsidR="007F793A" w:rsidRPr="00635815">
        <w:rPr>
          <w:rFonts w:eastAsia="ヒラギノ角ゴ Pro W3" w:cs="Arial"/>
          <w:color w:val="000000"/>
          <w:sz w:val="22"/>
          <w:szCs w:val="22"/>
        </w:rPr>
        <w:t xml:space="preserve">will provide on-going educational </w:t>
      </w:r>
      <w:r w:rsidR="00475C20">
        <w:rPr>
          <w:rFonts w:eastAsia="ヒラギノ角ゴ Pro W3" w:cs="Arial"/>
          <w:color w:val="000000"/>
          <w:sz w:val="22"/>
          <w:szCs w:val="22"/>
        </w:rPr>
        <w:t>supervision to the scholars.</w:t>
      </w:r>
      <w:r w:rsidR="007F793A" w:rsidRPr="00635815">
        <w:rPr>
          <w:rFonts w:eastAsia="ヒラギノ角ゴ Pro W3" w:cs="Arial"/>
          <w:color w:val="000000"/>
          <w:sz w:val="22"/>
          <w:szCs w:val="22"/>
        </w:rPr>
        <w:t xml:space="preserve"> This will include: assistance in selection and design of appropriate projects; regular progress reviews; advice and assistance in writing up and disseminating outputs of the Scholarship.</w:t>
      </w:r>
    </w:p>
    <w:p w14:paraId="792557D6" w14:textId="29B061B8" w:rsidR="007F793A" w:rsidRPr="00635815" w:rsidRDefault="001E6E30" w:rsidP="00992305">
      <w:pPr>
        <w:spacing w:before="360" w:after="120"/>
        <w:jc w:val="both"/>
        <w:rPr>
          <w:i/>
          <w:sz w:val="22"/>
          <w:szCs w:val="22"/>
        </w:rPr>
      </w:pPr>
      <w:r>
        <w:rPr>
          <w:i/>
          <w:sz w:val="22"/>
          <w:szCs w:val="22"/>
        </w:rPr>
        <w:t>C</w:t>
      </w:r>
      <w:r w:rsidR="00475C20">
        <w:rPr>
          <w:i/>
          <w:sz w:val="22"/>
          <w:szCs w:val="22"/>
        </w:rPr>
        <w:t xml:space="preserve">linical Commissioning </w:t>
      </w:r>
      <w:r>
        <w:rPr>
          <w:i/>
          <w:sz w:val="22"/>
          <w:szCs w:val="22"/>
        </w:rPr>
        <w:t>G</w:t>
      </w:r>
      <w:r w:rsidR="00475C20">
        <w:rPr>
          <w:i/>
          <w:sz w:val="22"/>
          <w:szCs w:val="22"/>
        </w:rPr>
        <w:t>roup</w:t>
      </w:r>
    </w:p>
    <w:p w14:paraId="5E7F42A0" w14:textId="1830C890" w:rsidR="00635815" w:rsidRPr="00635815" w:rsidRDefault="001E6E30" w:rsidP="00992305">
      <w:pPr>
        <w:spacing w:after="120"/>
        <w:jc w:val="both"/>
        <w:rPr>
          <w:sz w:val="22"/>
          <w:szCs w:val="22"/>
        </w:rPr>
      </w:pPr>
      <w:r>
        <w:rPr>
          <w:sz w:val="22"/>
          <w:szCs w:val="22"/>
        </w:rPr>
        <w:t>The CCG</w:t>
      </w:r>
      <w:r w:rsidR="007F793A" w:rsidRPr="00635815">
        <w:rPr>
          <w:sz w:val="22"/>
          <w:szCs w:val="22"/>
        </w:rPr>
        <w:t xml:space="preserve"> will be responsible for identifying strategic priorities to guide the implementation of sustainability within their organisation, and for assisting in the selection of appropriate projects to be undertaken by the Scholar in support of these.  </w:t>
      </w:r>
      <w:r>
        <w:rPr>
          <w:sz w:val="22"/>
          <w:szCs w:val="22"/>
        </w:rPr>
        <w:t>The</w:t>
      </w:r>
      <w:r w:rsidR="007F793A" w:rsidRPr="00635815">
        <w:rPr>
          <w:sz w:val="22"/>
          <w:szCs w:val="22"/>
        </w:rPr>
        <w:t xml:space="preserve"> organisation will provide a named contact and will co-operate as necessary for the successful delivery of the projects, for example by providing access to relevant data.</w:t>
      </w:r>
    </w:p>
    <w:p w14:paraId="77D6F02A" w14:textId="77777777" w:rsidR="00635815" w:rsidRDefault="00635815" w:rsidP="007C0CF0">
      <w:pPr>
        <w:pStyle w:val="Heading2"/>
        <w:spacing w:before="0" w:after="120" w:line="240" w:lineRule="auto"/>
        <w:rPr>
          <w:rFonts w:ascii="Helvetica" w:hAnsi="Helvetica" w:cs="Helvetica"/>
          <w:kern w:val="1"/>
          <w:lang w:val="en-US"/>
        </w:rPr>
      </w:pPr>
    </w:p>
    <w:p w14:paraId="74029DA8" w14:textId="77777777" w:rsidR="002C736E" w:rsidRPr="00E51BE7" w:rsidRDefault="002C736E" w:rsidP="00037636">
      <w:pPr>
        <w:pStyle w:val="Heading2"/>
        <w:spacing w:before="120" w:after="120" w:line="240" w:lineRule="auto"/>
        <w:rPr>
          <w:rFonts w:asciiTheme="majorHAnsi" w:hAnsiTheme="majorHAnsi"/>
          <w:color w:val="auto"/>
          <w:sz w:val="24"/>
          <w:szCs w:val="24"/>
        </w:rPr>
      </w:pPr>
      <w:r w:rsidRPr="00E51BE7">
        <w:rPr>
          <w:rFonts w:asciiTheme="majorHAnsi" w:hAnsiTheme="majorHAnsi"/>
          <w:color w:val="auto"/>
          <w:sz w:val="24"/>
          <w:szCs w:val="24"/>
        </w:rPr>
        <w:t xml:space="preserve">Timescale </w:t>
      </w:r>
    </w:p>
    <w:p w14:paraId="236730FE" w14:textId="0274838C" w:rsidR="002C736E" w:rsidRPr="00DB317A" w:rsidRDefault="00070041" w:rsidP="00743FE6">
      <w:pPr>
        <w:spacing w:after="120"/>
        <w:jc w:val="both"/>
        <w:rPr>
          <w:sz w:val="22"/>
          <w:szCs w:val="22"/>
        </w:rPr>
      </w:pPr>
      <w:r>
        <w:rPr>
          <w:sz w:val="22"/>
          <w:szCs w:val="22"/>
        </w:rPr>
        <w:t>Most likely the s</w:t>
      </w:r>
      <w:r w:rsidR="002C736E" w:rsidRPr="00DB317A">
        <w:rPr>
          <w:sz w:val="22"/>
          <w:szCs w:val="22"/>
        </w:rPr>
        <w:t xml:space="preserve">cholar recruited </w:t>
      </w:r>
      <w:r w:rsidR="00100BD4" w:rsidRPr="00DB317A">
        <w:rPr>
          <w:sz w:val="22"/>
          <w:szCs w:val="22"/>
        </w:rPr>
        <w:t xml:space="preserve">either </w:t>
      </w:r>
      <w:r w:rsidR="00761593" w:rsidRPr="00DB317A">
        <w:rPr>
          <w:sz w:val="22"/>
          <w:szCs w:val="22"/>
        </w:rPr>
        <w:t>in Spring or Summer</w:t>
      </w:r>
      <w:r w:rsidR="002C736E" w:rsidRPr="00DB317A">
        <w:rPr>
          <w:sz w:val="22"/>
          <w:szCs w:val="22"/>
        </w:rPr>
        <w:t xml:space="preserve"> for a one-year appointment</w:t>
      </w:r>
      <w:r>
        <w:rPr>
          <w:sz w:val="22"/>
          <w:szCs w:val="22"/>
        </w:rPr>
        <w:t xml:space="preserve"> </w:t>
      </w:r>
      <w:r w:rsidR="00475C20">
        <w:rPr>
          <w:sz w:val="22"/>
          <w:szCs w:val="22"/>
        </w:rPr>
        <w:t>will start</w:t>
      </w:r>
      <w:r>
        <w:rPr>
          <w:sz w:val="22"/>
          <w:szCs w:val="22"/>
        </w:rPr>
        <w:t xml:space="preserve"> in September to fit in with their training</w:t>
      </w:r>
      <w:r w:rsidR="002C736E" w:rsidRPr="00DB317A">
        <w:rPr>
          <w:sz w:val="22"/>
          <w:szCs w:val="22"/>
        </w:rPr>
        <w:t xml:space="preserve">. </w:t>
      </w:r>
    </w:p>
    <w:p w14:paraId="7A701B6C" w14:textId="77777777" w:rsidR="00F47119" w:rsidRPr="00743FE6" w:rsidRDefault="00F47119" w:rsidP="00743FE6">
      <w:pPr>
        <w:spacing w:after="120"/>
        <w:rPr>
          <w:rFonts w:eastAsia="ヒラギノ角ゴ Pro W3" w:cs="Arial"/>
          <w:sz w:val="22"/>
          <w:szCs w:val="22"/>
        </w:rPr>
      </w:pPr>
    </w:p>
    <w:p w14:paraId="277F9901" w14:textId="405EF827" w:rsidR="00F47119" w:rsidRPr="00E51BE7" w:rsidRDefault="00761593" w:rsidP="00037636">
      <w:pPr>
        <w:spacing w:before="120" w:after="120"/>
        <w:rPr>
          <w:rFonts w:asciiTheme="majorHAnsi" w:eastAsia="ヒラギノ角ゴ Pro W3" w:hAnsiTheme="majorHAnsi" w:cs="Arial"/>
          <w:b/>
        </w:rPr>
      </w:pPr>
      <w:r w:rsidRPr="00E51BE7">
        <w:rPr>
          <w:rFonts w:asciiTheme="majorHAnsi" w:eastAsia="ヒラギノ角ゴ Pro W3" w:hAnsiTheme="majorHAnsi" w:cs="Arial"/>
          <w:b/>
        </w:rPr>
        <w:t>Costs</w:t>
      </w:r>
    </w:p>
    <w:p w14:paraId="58898BDA" w14:textId="3152C149" w:rsidR="000B0794" w:rsidRPr="00743FE6" w:rsidRDefault="000B0794" w:rsidP="00743FE6">
      <w:pPr>
        <w:spacing w:after="120"/>
        <w:rPr>
          <w:rFonts w:eastAsia="ヒラギノ角ゴ Pro W3" w:cs="Arial"/>
          <w:sz w:val="22"/>
          <w:szCs w:val="22"/>
        </w:rPr>
      </w:pPr>
      <w:r w:rsidRPr="00743FE6">
        <w:rPr>
          <w:rFonts w:eastAsia="ヒラギノ角ゴ Pro W3" w:cs="Arial"/>
          <w:sz w:val="22"/>
          <w:szCs w:val="22"/>
        </w:rPr>
        <w:t xml:space="preserve">Costs will depend on </w:t>
      </w:r>
      <w:r w:rsidR="00070041">
        <w:rPr>
          <w:rFonts w:eastAsia="ヒラギノ角ゴ Pro W3" w:cs="Arial"/>
          <w:sz w:val="22"/>
          <w:szCs w:val="22"/>
        </w:rPr>
        <w:t xml:space="preserve">the </w:t>
      </w:r>
      <w:r w:rsidR="00475C20">
        <w:rPr>
          <w:rFonts w:eastAsia="ヒラギノ角ゴ Pro W3" w:cs="Arial"/>
          <w:sz w:val="22"/>
          <w:szCs w:val="22"/>
        </w:rPr>
        <w:t xml:space="preserve">appointed </w:t>
      </w:r>
      <w:r w:rsidR="00070041">
        <w:rPr>
          <w:rFonts w:eastAsia="ヒラギノ角ゴ Pro W3" w:cs="Arial"/>
          <w:sz w:val="22"/>
          <w:szCs w:val="22"/>
        </w:rPr>
        <w:t>s</w:t>
      </w:r>
      <w:r w:rsidR="008757D6" w:rsidRPr="00743FE6">
        <w:rPr>
          <w:rFonts w:eastAsia="ヒラギノ角ゴ Pro W3" w:cs="Arial"/>
          <w:sz w:val="22"/>
          <w:szCs w:val="22"/>
        </w:rPr>
        <w:t>cholar</w:t>
      </w:r>
      <w:r w:rsidR="00475C20">
        <w:rPr>
          <w:rFonts w:eastAsia="ヒラギノ角ゴ Pro W3" w:cs="Arial"/>
          <w:sz w:val="22"/>
          <w:szCs w:val="22"/>
        </w:rPr>
        <w:t>’s specialty</w:t>
      </w:r>
      <w:r w:rsidR="0066545A" w:rsidRPr="00743FE6">
        <w:rPr>
          <w:rFonts w:eastAsia="ヒラギノ角ゴ Pro W3" w:cs="Arial"/>
          <w:sz w:val="22"/>
          <w:szCs w:val="22"/>
        </w:rPr>
        <w:t>. Costs include:</w:t>
      </w:r>
    </w:p>
    <w:p w14:paraId="755FC5F3" w14:textId="2A464F81" w:rsidR="000D0A67" w:rsidRPr="00743FE6" w:rsidRDefault="000D0A67" w:rsidP="00743FE6">
      <w:pPr>
        <w:pStyle w:val="ListParagraph"/>
        <w:numPr>
          <w:ilvl w:val="0"/>
          <w:numId w:val="18"/>
        </w:numPr>
        <w:spacing w:after="120"/>
        <w:rPr>
          <w:rFonts w:eastAsia="ヒラギノ角ゴ Pro W3" w:cs="Arial"/>
          <w:sz w:val="22"/>
          <w:szCs w:val="22"/>
        </w:rPr>
      </w:pPr>
      <w:r w:rsidRPr="00743FE6">
        <w:rPr>
          <w:rFonts w:eastAsia="ヒラギノ角ゴ Pro W3" w:cs="Arial"/>
          <w:sz w:val="22"/>
          <w:szCs w:val="22"/>
        </w:rPr>
        <w:t>Direct scholar</w:t>
      </w:r>
      <w:r w:rsidR="008757D6" w:rsidRPr="00743FE6">
        <w:rPr>
          <w:rFonts w:eastAsia="ヒラギノ角ゴ Pro W3" w:cs="Arial"/>
          <w:sz w:val="22"/>
          <w:szCs w:val="22"/>
        </w:rPr>
        <w:t xml:space="preserve"> cost</w:t>
      </w:r>
      <w:r w:rsidRPr="00743FE6">
        <w:rPr>
          <w:rFonts w:eastAsia="ヒラギノ角ゴ Pro W3" w:cs="Arial"/>
          <w:sz w:val="22"/>
          <w:szCs w:val="22"/>
        </w:rPr>
        <w:t xml:space="preserve"> for salary/secondment </w:t>
      </w:r>
      <w:r w:rsidR="0066545A" w:rsidRPr="00743FE6">
        <w:rPr>
          <w:rFonts w:eastAsia="ヒラギノ角ゴ Pro W3" w:cs="Arial"/>
          <w:sz w:val="22"/>
          <w:szCs w:val="22"/>
        </w:rPr>
        <w:t>(0.5-1 day/week)</w:t>
      </w:r>
    </w:p>
    <w:p w14:paraId="474C7FC4" w14:textId="59B39022" w:rsidR="000D0A67" w:rsidRPr="00AA3712" w:rsidRDefault="000D0A67" w:rsidP="00AA3712">
      <w:pPr>
        <w:pStyle w:val="ListParagraph"/>
        <w:numPr>
          <w:ilvl w:val="0"/>
          <w:numId w:val="18"/>
        </w:numPr>
        <w:spacing w:after="120"/>
        <w:rPr>
          <w:rFonts w:eastAsia="ヒラギノ角ゴ Pro W3" w:cs="Arial"/>
          <w:sz w:val="22"/>
          <w:szCs w:val="22"/>
        </w:rPr>
      </w:pPr>
      <w:r w:rsidRPr="00743FE6">
        <w:rPr>
          <w:rFonts w:eastAsia="ヒラギノ角ゴ Pro W3" w:cs="Arial"/>
          <w:sz w:val="22"/>
          <w:szCs w:val="22"/>
        </w:rPr>
        <w:t>CSH programme management and supervision</w:t>
      </w:r>
      <w:r w:rsidR="00AA3712">
        <w:rPr>
          <w:rFonts w:eastAsia="ヒラギノ角ゴ Pro W3" w:cs="Arial"/>
          <w:sz w:val="22"/>
          <w:szCs w:val="22"/>
        </w:rPr>
        <w:t xml:space="preserve"> (£5-6,000 per scholar, depending on scholar time allocation)</w:t>
      </w:r>
    </w:p>
    <w:p w14:paraId="374364AA" w14:textId="2A95EA11" w:rsidR="000D0A67" w:rsidRDefault="000D0A67" w:rsidP="00743FE6">
      <w:pPr>
        <w:pStyle w:val="ListParagraph"/>
        <w:numPr>
          <w:ilvl w:val="0"/>
          <w:numId w:val="18"/>
        </w:numPr>
        <w:spacing w:after="120"/>
        <w:rPr>
          <w:rFonts w:eastAsia="ヒラギノ角ゴ Pro W3" w:cs="Arial"/>
          <w:sz w:val="22"/>
          <w:szCs w:val="22"/>
        </w:rPr>
      </w:pPr>
      <w:r w:rsidRPr="00743FE6">
        <w:rPr>
          <w:rFonts w:eastAsia="ヒラギノ角ゴ Pro W3" w:cs="Arial"/>
          <w:sz w:val="22"/>
          <w:szCs w:val="22"/>
        </w:rPr>
        <w:t xml:space="preserve">Expenses – some programmes have allocated a specific </w:t>
      </w:r>
      <w:r w:rsidR="0066545A" w:rsidRPr="00743FE6">
        <w:rPr>
          <w:rFonts w:eastAsia="ヒラギノ角ゴ Pro W3" w:cs="Arial"/>
          <w:sz w:val="22"/>
          <w:szCs w:val="22"/>
        </w:rPr>
        <w:t xml:space="preserve">study </w:t>
      </w:r>
      <w:r w:rsidRPr="00743FE6">
        <w:rPr>
          <w:rFonts w:eastAsia="ヒラギノ角ゴ Pro W3" w:cs="Arial"/>
          <w:sz w:val="22"/>
          <w:szCs w:val="22"/>
        </w:rPr>
        <w:t>budget</w:t>
      </w:r>
    </w:p>
    <w:p w14:paraId="185428D6" w14:textId="77777777" w:rsidR="00AF2020" w:rsidRDefault="00AF2020" w:rsidP="00AF2020">
      <w:pPr>
        <w:spacing w:after="120"/>
        <w:rPr>
          <w:rFonts w:eastAsia="ヒラギノ角ゴ Pro W3" w:cs="Arial"/>
          <w:sz w:val="22"/>
          <w:szCs w:val="22"/>
        </w:rPr>
      </w:pPr>
    </w:p>
    <w:p w14:paraId="385D4313" w14:textId="77777777" w:rsidR="00AF2020" w:rsidRDefault="00AF2020" w:rsidP="00AF2020">
      <w:pPr>
        <w:spacing w:after="120"/>
        <w:rPr>
          <w:rFonts w:eastAsia="ヒラギノ角ゴ Pro W3" w:cs="Arial"/>
          <w:sz w:val="22"/>
          <w:szCs w:val="22"/>
        </w:rPr>
      </w:pPr>
    </w:p>
    <w:p w14:paraId="2A37475F" w14:textId="14B56E48" w:rsidR="00AF2020" w:rsidRPr="00AF2020" w:rsidRDefault="00AF2020" w:rsidP="00AF2020">
      <w:pPr>
        <w:spacing w:after="120"/>
        <w:rPr>
          <w:rFonts w:eastAsia="ヒラギノ角ゴ Pro W3" w:cs="Arial"/>
          <w:sz w:val="22"/>
          <w:szCs w:val="22"/>
        </w:rPr>
      </w:pPr>
      <w:r>
        <w:rPr>
          <w:rFonts w:eastAsia="ヒラギノ角ゴ Pro W3" w:cs="Arial"/>
          <w:sz w:val="22"/>
          <w:szCs w:val="22"/>
        </w:rPr>
        <w:t xml:space="preserve">For further information, please contact </w:t>
      </w:r>
      <w:proofErr w:type="spellStart"/>
      <w:r>
        <w:rPr>
          <w:rFonts w:eastAsia="ヒラギノ角ゴ Pro W3" w:cs="Arial"/>
          <w:sz w:val="22"/>
          <w:szCs w:val="22"/>
        </w:rPr>
        <w:t>Dr.</w:t>
      </w:r>
      <w:proofErr w:type="spellEnd"/>
      <w:r>
        <w:rPr>
          <w:rFonts w:eastAsia="ヒラギノ角ゴ Pro W3" w:cs="Arial"/>
          <w:sz w:val="22"/>
          <w:szCs w:val="22"/>
        </w:rPr>
        <w:t xml:space="preserve"> Emily Farrow at the Centre for Sustainable Healthcare:  </w:t>
      </w:r>
      <w:hyperlink r:id="rId8" w:history="1">
        <w:r w:rsidRPr="00315A12">
          <w:rPr>
            <w:rStyle w:val="Hyperlink"/>
            <w:rFonts w:eastAsia="ヒラギノ角ゴ Pro W3" w:cs="Arial"/>
            <w:sz w:val="22"/>
            <w:szCs w:val="22"/>
          </w:rPr>
          <w:t>emily.farrow@sustainablehealthcare.org.uk</w:t>
        </w:r>
      </w:hyperlink>
      <w:r>
        <w:rPr>
          <w:rFonts w:eastAsia="ヒラギノ角ゴ Pro W3" w:cs="Arial"/>
          <w:sz w:val="22"/>
          <w:szCs w:val="22"/>
        </w:rPr>
        <w:t xml:space="preserve"> </w:t>
      </w:r>
    </w:p>
    <w:p w14:paraId="21BEA9AF" w14:textId="2A805546" w:rsidR="00AF2020" w:rsidRDefault="00BA4FE6">
      <w:pPr>
        <w:rPr>
          <w:rFonts w:eastAsia="ヒラギノ角ゴ Pro W3" w:cs="Arial"/>
          <w:sz w:val="22"/>
          <w:szCs w:val="22"/>
        </w:rPr>
      </w:pPr>
      <w:r>
        <w:rPr>
          <w:rFonts w:eastAsia="ヒラギノ角ゴ Pro W3" w:cs="Arial"/>
          <w:sz w:val="22"/>
          <w:szCs w:val="22"/>
        </w:rPr>
        <w:br w:type="page"/>
      </w:r>
    </w:p>
    <w:p w14:paraId="17804DE3" w14:textId="569BE268" w:rsidR="00796D5F" w:rsidRPr="00796D5F" w:rsidRDefault="00796D5F" w:rsidP="00445F60">
      <w:pPr>
        <w:spacing w:after="120"/>
        <w:rPr>
          <w:sz w:val="28"/>
        </w:rPr>
      </w:pPr>
      <w:r w:rsidRPr="00796D5F">
        <w:rPr>
          <w:sz w:val="28"/>
        </w:rPr>
        <w:lastRenderedPageBreak/>
        <w:t>APPENDIX 1: Proposed Scholar Projects</w:t>
      </w:r>
    </w:p>
    <w:p w14:paraId="6E6DC88E" w14:textId="541FF2F4" w:rsidR="00796D5F" w:rsidRPr="00445F60" w:rsidRDefault="00796D5F" w:rsidP="003747E4">
      <w:pPr>
        <w:widowControl w:val="0"/>
        <w:autoSpaceDE w:val="0"/>
        <w:autoSpaceDN w:val="0"/>
        <w:adjustRightInd w:val="0"/>
        <w:spacing w:after="120"/>
        <w:jc w:val="both"/>
        <w:rPr>
          <w:rFonts w:cs="Arial"/>
          <w:color w:val="000000" w:themeColor="text1"/>
          <w:sz w:val="21"/>
          <w:szCs w:val="21"/>
        </w:rPr>
      </w:pPr>
      <w:r w:rsidRPr="00445F60">
        <w:rPr>
          <w:rFonts w:cs="Arial"/>
          <w:color w:val="000000" w:themeColor="text1"/>
          <w:sz w:val="21"/>
          <w:szCs w:val="18"/>
        </w:rPr>
        <w:t>P</w:t>
      </w:r>
      <w:r w:rsidRPr="00445F60">
        <w:rPr>
          <w:rFonts w:cs="Arial"/>
          <w:color w:val="000000" w:themeColor="text1"/>
          <w:sz w:val="21"/>
          <w:szCs w:val="21"/>
        </w:rPr>
        <w:t xml:space="preserve">rojects may be proposed by </w:t>
      </w:r>
      <w:r w:rsidR="00070041">
        <w:rPr>
          <w:rFonts w:cs="Arial"/>
          <w:color w:val="000000" w:themeColor="text1"/>
          <w:sz w:val="21"/>
          <w:szCs w:val="21"/>
        </w:rPr>
        <w:t>the CCG</w:t>
      </w:r>
      <w:r w:rsidR="00F716BC">
        <w:rPr>
          <w:rFonts w:cs="Arial"/>
          <w:color w:val="000000" w:themeColor="text1"/>
          <w:sz w:val="21"/>
          <w:szCs w:val="21"/>
        </w:rPr>
        <w:t xml:space="preserve"> or the scholar</w:t>
      </w:r>
      <w:r w:rsidRPr="00445F60">
        <w:rPr>
          <w:rFonts w:cs="Arial"/>
          <w:color w:val="000000" w:themeColor="text1"/>
          <w:sz w:val="21"/>
          <w:szCs w:val="21"/>
        </w:rPr>
        <w:t>, which we would usual</w:t>
      </w:r>
      <w:r w:rsidR="00F716BC">
        <w:rPr>
          <w:rFonts w:cs="Arial"/>
          <w:color w:val="000000" w:themeColor="text1"/>
          <w:sz w:val="21"/>
          <w:szCs w:val="21"/>
        </w:rPr>
        <w:t>ly expect to fit one of the three</w:t>
      </w:r>
      <w:r w:rsidRPr="00445F60">
        <w:rPr>
          <w:rFonts w:cs="Arial"/>
          <w:color w:val="000000" w:themeColor="text1"/>
          <w:sz w:val="21"/>
          <w:szCs w:val="21"/>
        </w:rPr>
        <w:t xml:space="preserve"> project types in Section A</w:t>
      </w:r>
      <w:r w:rsidR="00445F60">
        <w:rPr>
          <w:rFonts w:cs="Arial"/>
          <w:color w:val="000000" w:themeColor="text1"/>
          <w:sz w:val="21"/>
          <w:szCs w:val="21"/>
        </w:rPr>
        <w:t>, below</w:t>
      </w:r>
      <w:r w:rsidRPr="00445F60">
        <w:rPr>
          <w:rFonts w:cs="Arial"/>
          <w:color w:val="000000" w:themeColor="text1"/>
          <w:sz w:val="21"/>
          <w:szCs w:val="21"/>
        </w:rPr>
        <w:t xml:space="preserve">. We also </w:t>
      </w:r>
      <w:r w:rsidR="00E51BE7">
        <w:rPr>
          <w:rFonts w:cs="Arial"/>
          <w:color w:val="000000" w:themeColor="text1"/>
          <w:sz w:val="21"/>
          <w:szCs w:val="21"/>
        </w:rPr>
        <w:t>provide</w:t>
      </w:r>
      <w:r w:rsidRPr="00445F60">
        <w:rPr>
          <w:rFonts w:cs="Arial"/>
          <w:color w:val="000000" w:themeColor="text1"/>
          <w:sz w:val="21"/>
          <w:szCs w:val="21"/>
        </w:rPr>
        <w:t xml:space="preserve"> </w:t>
      </w:r>
      <w:proofErr w:type="gramStart"/>
      <w:r w:rsidRPr="00445F60">
        <w:rPr>
          <w:rFonts w:cs="Arial"/>
          <w:color w:val="000000" w:themeColor="text1"/>
          <w:sz w:val="21"/>
          <w:szCs w:val="21"/>
        </w:rPr>
        <w:t>a number of</w:t>
      </w:r>
      <w:proofErr w:type="gramEnd"/>
      <w:r w:rsidRPr="00445F60">
        <w:rPr>
          <w:rFonts w:cs="Arial"/>
          <w:color w:val="000000" w:themeColor="text1"/>
          <w:sz w:val="21"/>
          <w:szCs w:val="21"/>
        </w:rPr>
        <w:t xml:space="preserve"> </w:t>
      </w:r>
      <w:r w:rsidR="00E51BE7">
        <w:rPr>
          <w:rFonts w:cs="Arial"/>
          <w:color w:val="000000" w:themeColor="text1"/>
          <w:sz w:val="21"/>
          <w:szCs w:val="21"/>
        </w:rPr>
        <w:t xml:space="preserve">recommendations for specific projects </w:t>
      </w:r>
      <w:r w:rsidRPr="00445F60">
        <w:rPr>
          <w:rFonts w:cs="Arial"/>
          <w:color w:val="000000" w:themeColor="text1"/>
          <w:sz w:val="21"/>
          <w:szCs w:val="21"/>
        </w:rPr>
        <w:t>that have been developed through prior work in mental health, general practice, respiratory medicine, renal medicine and occupational therapy (Section B).</w:t>
      </w:r>
    </w:p>
    <w:p w14:paraId="3038BDD4" w14:textId="77777777" w:rsidR="00796D5F" w:rsidRPr="00445F60" w:rsidRDefault="00796D5F" w:rsidP="003747E4">
      <w:pPr>
        <w:spacing w:after="120"/>
        <w:jc w:val="both"/>
        <w:rPr>
          <w:rFonts w:asciiTheme="majorHAnsi" w:hAnsiTheme="majorHAnsi"/>
          <w:b/>
          <w:sz w:val="21"/>
          <w:szCs w:val="21"/>
        </w:rPr>
      </w:pPr>
    </w:p>
    <w:p w14:paraId="707C3741" w14:textId="5473E512" w:rsidR="00E51BE7" w:rsidRPr="00E51BE7" w:rsidRDefault="00796D5F" w:rsidP="003747E4">
      <w:pPr>
        <w:spacing w:after="360"/>
        <w:jc w:val="both"/>
        <w:rPr>
          <w:rFonts w:asciiTheme="majorHAnsi" w:hAnsiTheme="majorHAnsi"/>
          <w:b/>
          <w:sz w:val="22"/>
          <w:szCs w:val="21"/>
        </w:rPr>
      </w:pPr>
      <w:r w:rsidRPr="00E51BE7">
        <w:rPr>
          <w:rFonts w:asciiTheme="majorHAnsi" w:hAnsiTheme="majorHAnsi"/>
          <w:b/>
          <w:sz w:val="22"/>
          <w:szCs w:val="21"/>
        </w:rPr>
        <w:t>SECTION A. GENERIC PROJECTS</w:t>
      </w:r>
    </w:p>
    <w:p w14:paraId="000E7DCB" w14:textId="77777777" w:rsidR="00070041" w:rsidRPr="00445F60" w:rsidRDefault="00070041" w:rsidP="00070041">
      <w:pPr>
        <w:pStyle w:val="ListParagraph"/>
        <w:numPr>
          <w:ilvl w:val="0"/>
          <w:numId w:val="24"/>
        </w:numPr>
        <w:spacing w:after="120"/>
        <w:ind w:left="360"/>
        <w:jc w:val="both"/>
        <w:rPr>
          <w:sz w:val="21"/>
          <w:szCs w:val="21"/>
        </w:rPr>
      </w:pPr>
      <w:r w:rsidRPr="00445F60">
        <w:rPr>
          <w:rFonts w:asciiTheme="majorHAnsi" w:hAnsiTheme="majorHAnsi"/>
          <w:b/>
          <w:sz w:val="21"/>
          <w:szCs w:val="21"/>
        </w:rPr>
        <w:t>Sustainable commissioning project</w:t>
      </w:r>
      <w:r>
        <w:rPr>
          <w:rFonts w:asciiTheme="majorHAnsi" w:hAnsiTheme="majorHAnsi"/>
          <w:b/>
          <w:sz w:val="21"/>
          <w:szCs w:val="21"/>
        </w:rPr>
        <w:t>s</w:t>
      </w:r>
    </w:p>
    <w:p w14:paraId="46FC87EC" w14:textId="77777777" w:rsidR="00070041" w:rsidRPr="00445F60" w:rsidRDefault="00070041" w:rsidP="00070041">
      <w:pPr>
        <w:spacing w:after="120"/>
        <w:jc w:val="both"/>
        <w:rPr>
          <w:rFonts w:ascii="Calibri" w:hAnsi="Calibri" w:cs="Arial"/>
          <w:sz w:val="21"/>
          <w:szCs w:val="21"/>
        </w:rPr>
      </w:pPr>
      <w:r w:rsidRPr="00445F60">
        <w:rPr>
          <w:rFonts w:asciiTheme="majorHAnsi" w:hAnsiTheme="majorHAnsi" w:cs="Arial"/>
          <w:sz w:val="21"/>
          <w:szCs w:val="21"/>
        </w:rPr>
        <w:t>Clinical area:</w:t>
      </w:r>
      <w:r w:rsidRPr="00445F60">
        <w:rPr>
          <w:rFonts w:ascii="Calibri" w:hAnsi="Calibri" w:cs="Arial"/>
          <w:sz w:val="21"/>
          <w:szCs w:val="21"/>
        </w:rPr>
        <w:t xml:space="preserve"> any</w:t>
      </w:r>
    </w:p>
    <w:p w14:paraId="60F744E5" w14:textId="77777777" w:rsidR="00070041" w:rsidRPr="00445F60" w:rsidRDefault="00070041" w:rsidP="00070041">
      <w:pPr>
        <w:spacing w:after="120"/>
        <w:jc w:val="both"/>
        <w:rPr>
          <w:rFonts w:ascii="Calibri" w:hAnsi="Calibri" w:cs="Arial"/>
          <w:sz w:val="21"/>
          <w:szCs w:val="21"/>
        </w:rPr>
      </w:pPr>
      <w:r w:rsidRPr="00445F60">
        <w:rPr>
          <w:rFonts w:asciiTheme="majorHAnsi" w:hAnsiTheme="majorHAnsi" w:cs="Arial"/>
          <w:sz w:val="21"/>
          <w:szCs w:val="21"/>
        </w:rPr>
        <w:t>Project goal:</w:t>
      </w:r>
      <w:r w:rsidRPr="00445F60">
        <w:rPr>
          <w:rFonts w:ascii="Calibri" w:hAnsi="Calibri" w:cs="Arial"/>
          <w:sz w:val="21"/>
          <w:szCs w:val="21"/>
        </w:rPr>
        <w:t xml:space="preserve"> to support the application of sustainability principles in the review/commissioning of a clinical service</w:t>
      </w:r>
    </w:p>
    <w:p w14:paraId="091AFCB5" w14:textId="77777777" w:rsidR="00070041" w:rsidRPr="00445F60" w:rsidRDefault="00070041" w:rsidP="00070041">
      <w:pPr>
        <w:spacing w:after="120"/>
        <w:jc w:val="both"/>
        <w:rPr>
          <w:rFonts w:ascii="Calibri" w:hAnsi="Calibri" w:cs="Arial"/>
          <w:sz w:val="21"/>
          <w:szCs w:val="21"/>
        </w:rPr>
      </w:pPr>
      <w:r w:rsidRPr="00445F60">
        <w:rPr>
          <w:rFonts w:asciiTheme="majorHAnsi" w:hAnsiTheme="majorHAnsi" w:cs="Arial"/>
          <w:sz w:val="21"/>
          <w:szCs w:val="21"/>
        </w:rPr>
        <w:t>Background:</w:t>
      </w:r>
      <w:r w:rsidRPr="00445F60">
        <w:rPr>
          <w:rFonts w:ascii="Calibri" w:hAnsi="Calibri" w:cs="Arial"/>
          <w:sz w:val="21"/>
          <w:szCs w:val="21"/>
        </w:rPr>
        <w:t xml:space="preserve"> the commissioning process offers the opportunity to build in sustainability principles in the redesign or ongoing delivery of a clinical service. Sustainable commissioning guidance is available, but commissioning teams often lack the capacity and capability to seek it out and apply it in practice. Scholars from a relevant clinical discipline can be embedded within a commissioning team for a specified service and provide a dedicated resource to review the sustainability of current and proposed service models, highlighting opportunities for improvement. Commissioners report that previous Scholars have provided a valuable clinical as well as sustainability perspective within the team.</w:t>
      </w:r>
    </w:p>
    <w:p w14:paraId="6B5D545D" w14:textId="77777777" w:rsidR="00070041" w:rsidRPr="00445F60" w:rsidRDefault="00070041" w:rsidP="00070041">
      <w:pPr>
        <w:spacing w:after="120"/>
        <w:jc w:val="both"/>
        <w:rPr>
          <w:sz w:val="21"/>
          <w:szCs w:val="21"/>
        </w:rPr>
      </w:pPr>
      <w:r w:rsidRPr="00445F60">
        <w:rPr>
          <w:rFonts w:asciiTheme="majorHAnsi" w:hAnsiTheme="majorHAnsi"/>
          <w:sz w:val="21"/>
          <w:szCs w:val="21"/>
        </w:rPr>
        <w:t>Activities:</w:t>
      </w:r>
      <w:r w:rsidRPr="00445F60">
        <w:rPr>
          <w:sz w:val="21"/>
          <w:szCs w:val="21"/>
        </w:rPr>
        <w:t xml:space="preserve"> research into relevant sustainability guidance and examples of good practice; sustainability review of current and proposed service models; identification and further research of opportunity areas; facilitation of dialogue between commissioners and providers on sustainability; recommendation of outcome measures; development of sustainable commissioning case study.</w:t>
      </w:r>
    </w:p>
    <w:p w14:paraId="2012B753" w14:textId="77777777" w:rsidR="00070041" w:rsidRDefault="00070041" w:rsidP="00070041">
      <w:pPr>
        <w:pStyle w:val="ListParagraph"/>
        <w:spacing w:after="120"/>
        <w:ind w:left="360"/>
        <w:jc w:val="both"/>
        <w:rPr>
          <w:rFonts w:asciiTheme="majorHAnsi" w:hAnsiTheme="majorHAnsi"/>
          <w:b/>
          <w:sz w:val="21"/>
          <w:szCs w:val="21"/>
        </w:rPr>
      </w:pPr>
    </w:p>
    <w:p w14:paraId="6B6DDB2E" w14:textId="46A76D23" w:rsidR="00796D5F" w:rsidRPr="00445F60" w:rsidRDefault="00796D5F" w:rsidP="003747E4">
      <w:pPr>
        <w:pStyle w:val="ListParagraph"/>
        <w:numPr>
          <w:ilvl w:val="0"/>
          <w:numId w:val="24"/>
        </w:numPr>
        <w:spacing w:after="120"/>
        <w:ind w:left="360"/>
        <w:jc w:val="both"/>
        <w:rPr>
          <w:rFonts w:asciiTheme="majorHAnsi" w:hAnsiTheme="majorHAnsi"/>
          <w:b/>
          <w:sz w:val="21"/>
          <w:szCs w:val="21"/>
        </w:rPr>
      </w:pPr>
      <w:r w:rsidRPr="00445F60">
        <w:rPr>
          <w:rFonts w:asciiTheme="majorHAnsi" w:hAnsiTheme="majorHAnsi"/>
          <w:b/>
          <w:sz w:val="21"/>
          <w:szCs w:val="21"/>
        </w:rPr>
        <w:t>Sustainable quality improvement project</w:t>
      </w:r>
      <w:r w:rsidR="00847896">
        <w:rPr>
          <w:rFonts w:asciiTheme="majorHAnsi" w:hAnsiTheme="majorHAnsi"/>
          <w:b/>
          <w:sz w:val="21"/>
          <w:szCs w:val="21"/>
        </w:rPr>
        <w:t>s</w:t>
      </w:r>
    </w:p>
    <w:p w14:paraId="707E6DEB" w14:textId="77777777"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Clinical area:</w:t>
      </w:r>
      <w:r w:rsidRPr="00445F60">
        <w:rPr>
          <w:rFonts w:ascii="Calibri" w:hAnsi="Calibri" w:cs="Arial"/>
          <w:sz w:val="21"/>
          <w:szCs w:val="21"/>
        </w:rPr>
        <w:t xml:space="preserve"> any</w:t>
      </w:r>
    </w:p>
    <w:p w14:paraId="3D4BB41A" w14:textId="77777777"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Project goal:</w:t>
      </w:r>
      <w:r w:rsidRPr="00445F60">
        <w:rPr>
          <w:rFonts w:ascii="Calibri" w:hAnsi="Calibri" w:cs="Arial"/>
          <w:sz w:val="21"/>
          <w:szCs w:val="21"/>
        </w:rPr>
        <w:t xml:space="preserve"> to improve the quality and sustainability of patient care in a local service</w:t>
      </w:r>
    </w:p>
    <w:p w14:paraId="1C491A4C" w14:textId="77777777" w:rsidR="00796D5F" w:rsidRPr="00445F60" w:rsidRDefault="00796D5F" w:rsidP="003747E4">
      <w:pPr>
        <w:spacing w:after="120"/>
        <w:jc w:val="both"/>
        <w:rPr>
          <w:sz w:val="21"/>
          <w:szCs w:val="21"/>
        </w:rPr>
      </w:pPr>
      <w:r w:rsidRPr="00445F60">
        <w:rPr>
          <w:rFonts w:asciiTheme="majorHAnsi" w:hAnsiTheme="majorHAnsi" w:cs="Arial"/>
          <w:sz w:val="21"/>
          <w:szCs w:val="21"/>
        </w:rPr>
        <w:t>Background:</w:t>
      </w:r>
      <w:r w:rsidRPr="00445F60">
        <w:rPr>
          <w:rFonts w:ascii="Calibri" w:hAnsi="Calibri" w:cs="Arial"/>
          <w:sz w:val="21"/>
          <w:szCs w:val="21"/>
        </w:rPr>
        <w:t xml:space="preserve"> CSH has developed a “</w:t>
      </w:r>
      <w:proofErr w:type="spellStart"/>
      <w:r w:rsidRPr="00445F60">
        <w:rPr>
          <w:rFonts w:ascii="Calibri" w:hAnsi="Calibri" w:cs="Arial"/>
          <w:sz w:val="21"/>
          <w:szCs w:val="21"/>
        </w:rPr>
        <w:t>SusQI</w:t>
      </w:r>
      <w:proofErr w:type="spellEnd"/>
      <w:r w:rsidRPr="00445F60">
        <w:rPr>
          <w:rFonts w:ascii="Calibri" w:hAnsi="Calibri" w:cs="Arial"/>
          <w:sz w:val="21"/>
          <w:szCs w:val="21"/>
        </w:rPr>
        <w:t xml:space="preserve">” framework for integrating sustainability into Quality Improvement methodology, based on CSH’s four principles: prevention, empowerment, lean system and low carbon alternatives. This provides a practical way of addressing environmental, resource and social concerns while improving patient outcomes. The framework was included in the Academy of Medical Royal Colleges’ report, “Quality Improvement – training for better outcomes” in 2016, and is currently being adopted in </w:t>
      </w:r>
      <w:proofErr w:type="gramStart"/>
      <w:r w:rsidRPr="00445F60">
        <w:rPr>
          <w:rFonts w:ascii="Calibri" w:hAnsi="Calibri" w:cs="Arial"/>
          <w:sz w:val="21"/>
          <w:szCs w:val="21"/>
        </w:rPr>
        <w:t>a number of</w:t>
      </w:r>
      <w:proofErr w:type="gramEnd"/>
      <w:r w:rsidRPr="00445F60">
        <w:rPr>
          <w:rFonts w:ascii="Calibri" w:hAnsi="Calibri" w:cs="Arial"/>
          <w:sz w:val="21"/>
          <w:szCs w:val="21"/>
        </w:rPr>
        <w:t xml:space="preserve"> undergraduate and postgraduate settings.</w:t>
      </w:r>
    </w:p>
    <w:p w14:paraId="3B8288B6" w14:textId="77777777" w:rsidR="00796D5F" w:rsidRPr="00445F60" w:rsidRDefault="00796D5F" w:rsidP="003747E4">
      <w:pPr>
        <w:spacing w:after="120"/>
        <w:jc w:val="both"/>
        <w:rPr>
          <w:sz w:val="21"/>
          <w:szCs w:val="21"/>
        </w:rPr>
      </w:pPr>
      <w:r w:rsidRPr="00445F60">
        <w:rPr>
          <w:rFonts w:asciiTheme="majorHAnsi" w:hAnsiTheme="majorHAnsi"/>
          <w:sz w:val="21"/>
          <w:szCs w:val="21"/>
        </w:rPr>
        <w:t>Activities:</w:t>
      </w:r>
      <w:r w:rsidRPr="00445F60">
        <w:rPr>
          <w:sz w:val="21"/>
          <w:szCs w:val="21"/>
        </w:rPr>
        <w:t xml:space="preserve"> scoping, design and leadership of a quality improvement project; stakeholder engagement; process mapping; identification of QI interventions, indicators and outcome measures; implementation of PDSA cycles; report writing and submission for publication.</w:t>
      </w:r>
    </w:p>
    <w:p w14:paraId="0F378FB1" w14:textId="169E6BD7" w:rsidR="00796D5F" w:rsidRPr="00445F60" w:rsidRDefault="00796D5F" w:rsidP="003747E4">
      <w:pPr>
        <w:spacing w:after="120"/>
        <w:jc w:val="both"/>
        <w:rPr>
          <w:sz w:val="21"/>
          <w:szCs w:val="21"/>
        </w:rPr>
      </w:pPr>
    </w:p>
    <w:p w14:paraId="47D3E59F" w14:textId="1C1F03CC" w:rsidR="00796D5F" w:rsidRPr="00445F60" w:rsidRDefault="00847896" w:rsidP="003747E4">
      <w:pPr>
        <w:pStyle w:val="ListParagraph"/>
        <w:widowControl w:val="0"/>
        <w:numPr>
          <w:ilvl w:val="0"/>
          <w:numId w:val="24"/>
        </w:numPr>
        <w:autoSpaceDE w:val="0"/>
        <w:autoSpaceDN w:val="0"/>
        <w:adjustRightInd w:val="0"/>
        <w:spacing w:after="120"/>
        <w:ind w:left="360"/>
        <w:jc w:val="both"/>
        <w:rPr>
          <w:rFonts w:asciiTheme="majorHAnsi" w:hAnsiTheme="majorHAnsi" w:cs="Arial"/>
          <w:b/>
          <w:color w:val="000000" w:themeColor="text1"/>
          <w:sz w:val="21"/>
          <w:szCs w:val="21"/>
        </w:rPr>
      </w:pPr>
      <w:r>
        <w:rPr>
          <w:rFonts w:asciiTheme="majorHAnsi" w:hAnsiTheme="majorHAnsi" w:cs="Arial"/>
          <w:b/>
          <w:color w:val="000000" w:themeColor="text1"/>
          <w:sz w:val="21"/>
          <w:szCs w:val="21"/>
        </w:rPr>
        <w:t xml:space="preserve">Projects to promote clinical engagement in sustainability initiatives within </w:t>
      </w:r>
      <w:r w:rsidR="00796D5F" w:rsidRPr="00445F60">
        <w:rPr>
          <w:rFonts w:asciiTheme="majorHAnsi" w:hAnsiTheme="majorHAnsi" w:cs="Arial"/>
          <w:b/>
          <w:color w:val="000000" w:themeColor="text1"/>
          <w:sz w:val="21"/>
          <w:szCs w:val="21"/>
        </w:rPr>
        <w:t>NHS Trusts</w:t>
      </w:r>
    </w:p>
    <w:p w14:paraId="19CE0909" w14:textId="5452FFD7" w:rsidR="00796D5F" w:rsidRPr="00B50A56" w:rsidRDefault="00796D5F" w:rsidP="003747E4">
      <w:pPr>
        <w:widowControl w:val="0"/>
        <w:autoSpaceDE w:val="0"/>
        <w:autoSpaceDN w:val="0"/>
        <w:adjustRightInd w:val="0"/>
        <w:spacing w:after="120"/>
        <w:jc w:val="both"/>
        <w:rPr>
          <w:rFonts w:cs="Arial"/>
          <w:color w:val="000000" w:themeColor="text1"/>
          <w:sz w:val="21"/>
          <w:szCs w:val="21"/>
        </w:rPr>
      </w:pPr>
      <w:r w:rsidRPr="00B50A56">
        <w:rPr>
          <w:rFonts w:asciiTheme="majorHAnsi" w:hAnsiTheme="majorHAnsi" w:cs="Arial"/>
          <w:color w:val="000000" w:themeColor="text1"/>
          <w:sz w:val="21"/>
          <w:szCs w:val="21"/>
        </w:rPr>
        <w:t>Clinical area:</w:t>
      </w:r>
      <w:r w:rsidRPr="00B50A56">
        <w:rPr>
          <w:rFonts w:cs="Arial"/>
          <w:color w:val="000000" w:themeColor="text1"/>
          <w:sz w:val="21"/>
          <w:szCs w:val="21"/>
        </w:rPr>
        <w:t xml:space="preserve"> any</w:t>
      </w:r>
    </w:p>
    <w:p w14:paraId="1A8A28AA" w14:textId="5724E618" w:rsidR="00796D5F" w:rsidRPr="00B50A56" w:rsidRDefault="00796D5F" w:rsidP="003747E4">
      <w:pPr>
        <w:widowControl w:val="0"/>
        <w:autoSpaceDE w:val="0"/>
        <w:autoSpaceDN w:val="0"/>
        <w:adjustRightInd w:val="0"/>
        <w:spacing w:after="120"/>
        <w:jc w:val="both"/>
        <w:rPr>
          <w:rFonts w:cs="Arial"/>
          <w:color w:val="000000" w:themeColor="text1"/>
          <w:sz w:val="21"/>
          <w:szCs w:val="21"/>
        </w:rPr>
      </w:pPr>
      <w:r w:rsidRPr="00B50A56">
        <w:rPr>
          <w:rFonts w:asciiTheme="majorHAnsi" w:hAnsiTheme="majorHAnsi" w:cs="Arial"/>
          <w:color w:val="000000" w:themeColor="text1"/>
          <w:sz w:val="21"/>
          <w:szCs w:val="21"/>
        </w:rPr>
        <w:t>Project goal:</w:t>
      </w:r>
      <w:r w:rsidRPr="00B50A56">
        <w:rPr>
          <w:rFonts w:cs="Arial"/>
          <w:color w:val="000000" w:themeColor="text1"/>
          <w:sz w:val="21"/>
          <w:szCs w:val="21"/>
        </w:rPr>
        <w:t xml:space="preserve"> Engaging clinicians in NHS Trusts’ efforts to improve the sustainability of their organisation</w:t>
      </w:r>
    </w:p>
    <w:p w14:paraId="55385BB4" w14:textId="0136867F" w:rsidR="00796D5F" w:rsidRPr="00B50A56" w:rsidRDefault="00796D5F" w:rsidP="003747E4">
      <w:pPr>
        <w:widowControl w:val="0"/>
        <w:autoSpaceDE w:val="0"/>
        <w:autoSpaceDN w:val="0"/>
        <w:adjustRightInd w:val="0"/>
        <w:spacing w:after="120"/>
        <w:jc w:val="both"/>
        <w:rPr>
          <w:rFonts w:cs="Arial"/>
          <w:color w:val="000000" w:themeColor="text1"/>
          <w:sz w:val="21"/>
          <w:szCs w:val="21"/>
        </w:rPr>
      </w:pPr>
      <w:r w:rsidRPr="00B50A56">
        <w:rPr>
          <w:rFonts w:asciiTheme="majorHAnsi" w:hAnsiTheme="majorHAnsi" w:cs="Arial"/>
          <w:color w:val="000000" w:themeColor="text1"/>
          <w:sz w:val="21"/>
          <w:szCs w:val="21"/>
        </w:rPr>
        <w:t>Background:</w:t>
      </w:r>
      <w:r w:rsidRPr="00B50A56">
        <w:rPr>
          <w:rFonts w:cs="Arial"/>
          <w:color w:val="000000" w:themeColor="text1"/>
          <w:sz w:val="21"/>
          <w:szCs w:val="21"/>
        </w:rPr>
        <w:t xml:space="preserve"> </w:t>
      </w:r>
      <w:r w:rsidR="00070041">
        <w:rPr>
          <w:rFonts w:cs="Arial"/>
          <w:color w:val="000000" w:themeColor="text1"/>
          <w:sz w:val="21"/>
          <w:szCs w:val="21"/>
        </w:rPr>
        <w:t>Most of the environmental impact of a CCG is due to its commissioning activity and therefore the sustainability of its providers.  To become more sustainable the CCG needs to engage with</w:t>
      </w:r>
      <w:r w:rsidR="00F716BC">
        <w:rPr>
          <w:rFonts w:cs="Arial"/>
          <w:color w:val="000000" w:themeColor="text1"/>
          <w:sz w:val="21"/>
          <w:szCs w:val="21"/>
        </w:rPr>
        <w:t xml:space="preserve"> and support</w:t>
      </w:r>
      <w:r w:rsidR="00070041">
        <w:rPr>
          <w:rFonts w:cs="Arial"/>
          <w:color w:val="000000" w:themeColor="text1"/>
          <w:sz w:val="21"/>
          <w:szCs w:val="21"/>
        </w:rPr>
        <w:t xml:space="preserve"> its providers </w:t>
      </w:r>
      <w:r w:rsidR="00F716BC">
        <w:rPr>
          <w:rFonts w:cs="Arial"/>
          <w:color w:val="000000" w:themeColor="text1"/>
          <w:sz w:val="21"/>
          <w:szCs w:val="21"/>
        </w:rPr>
        <w:t xml:space="preserve">in improving the organisations’ sustainability. </w:t>
      </w:r>
      <w:r w:rsidRPr="00B50A56">
        <w:rPr>
          <w:rFonts w:cs="Arial"/>
          <w:color w:val="000000" w:themeColor="text1"/>
          <w:sz w:val="21"/>
          <w:szCs w:val="21"/>
        </w:rPr>
        <w:t xml:space="preserve">Many NHS Trusts are following national requirements </w:t>
      </w:r>
      <w:r w:rsidR="00445F60" w:rsidRPr="00B50A56">
        <w:rPr>
          <w:rFonts w:cs="Arial"/>
          <w:color w:val="000000" w:themeColor="text1"/>
          <w:sz w:val="21"/>
          <w:szCs w:val="21"/>
        </w:rPr>
        <w:t>to develop</w:t>
      </w:r>
      <w:r w:rsidRPr="00B50A56">
        <w:rPr>
          <w:rFonts w:cs="Arial"/>
          <w:color w:val="000000" w:themeColor="text1"/>
          <w:sz w:val="21"/>
          <w:szCs w:val="21"/>
        </w:rPr>
        <w:t xml:space="preserve"> </w:t>
      </w:r>
      <w:r w:rsidR="00445F60" w:rsidRPr="00B50A56">
        <w:rPr>
          <w:rFonts w:cs="Arial"/>
          <w:color w:val="000000" w:themeColor="text1"/>
          <w:sz w:val="21"/>
          <w:szCs w:val="21"/>
        </w:rPr>
        <w:t xml:space="preserve">and implement </w:t>
      </w:r>
      <w:r w:rsidRPr="00B50A56">
        <w:rPr>
          <w:rFonts w:cs="Arial"/>
          <w:color w:val="000000" w:themeColor="text1"/>
          <w:sz w:val="21"/>
          <w:szCs w:val="21"/>
        </w:rPr>
        <w:t>Sustainable Development Management Plans</w:t>
      </w:r>
      <w:r w:rsidR="00445F60" w:rsidRPr="00B50A56">
        <w:rPr>
          <w:rFonts w:cs="Arial"/>
          <w:color w:val="000000" w:themeColor="text1"/>
          <w:sz w:val="21"/>
          <w:szCs w:val="21"/>
        </w:rPr>
        <w:t>, supported by a</w:t>
      </w:r>
      <w:r w:rsidR="00630375">
        <w:rPr>
          <w:rFonts w:cs="Arial"/>
          <w:color w:val="000000" w:themeColor="text1"/>
          <w:sz w:val="21"/>
          <w:szCs w:val="21"/>
        </w:rPr>
        <w:t xml:space="preserve">n </w:t>
      </w:r>
      <w:r w:rsidR="00630375">
        <w:rPr>
          <w:rFonts w:cs="Arial"/>
          <w:color w:val="000000" w:themeColor="text1"/>
          <w:sz w:val="21"/>
          <w:szCs w:val="21"/>
        </w:rPr>
        <w:lastRenderedPageBreak/>
        <w:t>internal</w:t>
      </w:r>
      <w:r w:rsidR="00445F60" w:rsidRPr="00B50A56">
        <w:rPr>
          <w:rFonts w:cs="Arial"/>
          <w:color w:val="000000" w:themeColor="text1"/>
          <w:sz w:val="21"/>
          <w:szCs w:val="21"/>
        </w:rPr>
        <w:t xml:space="preserve"> Sustainability </w:t>
      </w:r>
      <w:r w:rsidR="00630375">
        <w:rPr>
          <w:rFonts w:cs="Arial"/>
          <w:color w:val="000000" w:themeColor="text1"/>
          <w:sz w:val="21"/>
          <w:szCs w:val="21"/>
        </w:rPr>
        <w:t>Committee</w:t>
      </w:r>
      <w:r w:rsidR="003F0AA0">
        <w:rPr>
          <w:rFonts w:cs="Arial"/>
          <w:color w:val="000000" w:themeColor="text1"/>
          <w:sz w:val="21"/>
          <w:szCs w:val="21"/>
        </w:rPr>
        <w:t>. However</w:t>
      </w:r>
      <w:r w:rsidR="00445F60" w:rsidRPr="00B50A56">
        <w:rPr>
          <w:rFonts w:cs="Arial"/>
          <w:color w:val="000000" w:themeColor="text1"/>
          <w:sz w:val="21"/>
          <w:szCs w:val="21"/>
        </w:rPr>
        <w:t xml:space="preserve">, there is </w:t>
      </w:r>
      <w:r w:rsidR="003F0AA0">
        <w:rPr>
          <w:rFonts w:cs="Arial"/>
          <w:color w:val="000000" w:themeColor="text1"/>
          <w:sz w:val="21"/>
          <w:szCs w:val="21"/>
        </w:rPr>
        <w:t>often</w:t>
      </w:r>
      <w:r w:rsidR="00445F60" w:rsidRPr="00B50A56">
        <w:rPr>
          <w:rFonts w:cs="Arial"/>
          <w:color w:val="000000" w:themeColor="text1"/>
          <w:sz w:val="21"/>
          <w:szCs w:val="21"/>
        </w:rPr>
        <w:t xml:space="preserve"> limited engagement from clinical staff</w:t>
      </w:r>
      <w:r w:rsidR="00630375">
        <w:rPr>
          <w:rFonts w:cs="Arial"/>
          <w:color w:val="000000" w:themeColor="text1"/>
          <w:sz w:val="21"/>
          <w:szCs w:val="21"/>
        </w:rPr>
        <w:t xml:space="preserve"> </w:t>
      </w:r>
      <w:r w:rsidR="00445F60" w:rsidRPr="00B50A56">
        <w:rPr>
          <w:rFonts w:cs="Arial"/>
          <w:color w:val="000000" w:themeColor="text1"/>
          <w:sz w:val="21"/>
          <w:szCs w:val="21"/>
        </w:rPr>
        <w:t>– severely restricting the potential for change</w:t>
      </w:r>
      <w:r w:rsidRPr="00B50A56">
        <w:rPr>
          <w:rFonts w:cs="Arial"/>
          <w:color w:val="000000" w:themeColor="text1"/>
          <w:sz w:val="21"/>
          <w:szCs w:val="21"/>
        </w:rPr>
        <w:t xml:space="preserve">. </w:t>
      </w:r>
      <w:r w:rsidR="00445F60" w:rsidRPr="00B50A56">
        <w:rPr>
          <w:rFonts w:cs="Arial"/>
          <w:color w:val="000000" w:themeColor="text1"/>
          <w:sz w:val="21"/>
          <w:szCs w:val="21"/>
        </w:rPr>
        <w:t xml:space="preserve">CSH </w:t>
      </w:r>
      <w:r w:rsidRPr="00B50A56">
        <w:rPr>
          <w:rFonts w:cs="Arial"/>
          <w:color w:val="000000" w:themeColor="text1"/>
          <w:sz w:val="21"/>
          <w:szCs w:val="21"/>
        </w:rPr>
        <w:t>has successfully engaged frontline staff in various trusts to work collaboratively to make efficiencies</w:t>
      </w:r>
      <w:r w:rsidR="00445F60" w:rsidRPr="00B50A56">
        <w:rPr>
          <w:rFonts w:cs="Arial"/>
          <w:color w:val="000000" w:themeColor="text1"/>
          <w:sz w:val="21"/>
          <w:szCs w:val="21"/>
        </w:rPr>
        <w:t xml:space="preserve"> in the carbon and financial cost of care, while maintaining or improving quality</w:t>
      </w:r>
      <w:r w:rsidRPr="00B50A56">
        <w:rPr>
          <w:rFonts w:cs="Arial"/>
          <w:color w:val="000000" w:themeColor="text1"/>
          <w:sz w:val="21"/>
          <w:szCs w:val="21"/>
        </w:rPr>
        <w:t>.</w:t>
      </w:r>
    </w:p>
    <w:p w14:paraId="6E22E85F" w14:textId="6E64BCB3" w:rsidR="00796D5F" w:rsidRPr="00445F60" w:rsidRDefault="00796D5F" w:rsidP="003747E4">
      <w:pPr>
        <w:widowControl w:val="0"/>
        <w:autoSpaceDE w:val="0"/>
        <w:autoSpaceDN w:val="0"/>
        <w:adjustRightInd w:val="0"/>
        <w:spacing w:after="120"/>
        <w:jc w:val="both"/>
        <w:rPr>
          <w:rFonts w:cs="Arial"/>
          <w:color w:val="000000" w:themeColor="text1"/>
          <w:sz w:val="21"/>
          <w:szCs w:val="21"/>
          <w:lang w:val="en-US"/>
        </w:rPr>
      </w:pPr>
      <w:r w:rsidRPr="00B50A56">
        <w:rPr>
          <w:rFonts w:asciiTheme="majorHAnsi" w:hAnsiTheme="majorHAnsi" w:cs="Arial"/>
          <w:color w:val="000000" w:themeColor="text1"/>
          <w:sz w:val="21"/>
          <w:szCs w:val="21"/>
        </w:rPr>
        <w:t>Activities:</w:t>
      </w:r>
      <w:r w:rsidRPr="00B50A56">
        <w:rPr>
          <w:rFonts w:cs="Arial"/>
          <w:color w:val="000000" w:themeColor="text1"/>
          <w:sz w:val="21"/>
          <w:szCs w:val="21"/>
        </w:rPr>
        <w:t xml:space="preserve"> </w:t>
      </w:r>
      <w:r w:rsidR="00445F60" w:rsidRPr="00B50A56">
        <w:rPr>
          <w:rFonts w:cs="Arial"/>
          <w:color w:val="000000" w:themeColor="text1"/>
          <w:sz w:val="21"/>
          <w:szCs w:val="21"/>
        </w:rPr>
        <w:t>working</w:t>
      </w:r>
      <w:r w:rsidRPr="00B50A56">
        <w:rPr>
          <w:rFonts w:cs="Arial"/>
          <w:color w:val="000000" w:themeColor="text1"/>
          <w:sz w:val="21"/>
          <w:szCs w:val="21"/>
        </w:rPr>
        <w:t xml:space="preserve"> with the Trust</w:t>
      </w:r>
      <w:r w:rsidR="00630375">
        <w:rPr>
          <w:rFonts w:cs="Arial"/>
          <w:color w:val="000000" w:themeColor="text1"/>
          <w:sz w:val="21"/>
          <w:szCs w:val="21"/>
        </w:rPr>
        <w:t>’s</w:t>
      </w:r>
      <w:r w:rsidRPr="00B50A56">
        <w:rPr>
          <w:rFonts w:cs="Arial"/>
          <w:color w:val="000000" w:themeColor="text1"/>
          <w:sz w:val="21"/>
          <w:szCs w:val="21"/>
        </w:rPr>
        <w:t xml:space="preserve"> </w:t>
      </w:r>
      <w:r w:rsidR="00630375">
        <w:rPr>
          <w:rFonts w:cs="Arial"/>
          <w:color w:val="000000" w:themeColor="text1"/>
          <w:sz w:val="21"/>
          <w:szCs w:val="21"/>
          <w:lang w:val="en-US"/>
        </w:rPr>
        <w:t xml:space="preserve">sustainability </w:t>
      </w:r>
      <w:r w:rsidRPr="00B50A56">
        <w:rPr>
          <w:rFonts w:cs="Arial"/>
          <w:color w:val="000000" w:themeColor="text1"/>
          <w:sz w:val="21"/>
          <w:szCs w:val="21"/>
          <w:lang w:val="en-US"/>
        </w:rPr>
        <w:t>committee/lead</w:t>
      </w:r>
      <w:r w:rsidRPr="00B50A56">
        <w:rPr>
          <w:rFonts w:cs="Arial"/>
          <w:color w:val="000000" w:themeColor="text1"/>
          <w:sz w:val="21"/>
          <w:szCs w:val="21"/>
        </w:rPr>
        <w:t xml:space="preserve"> to feed into and support t</w:t>
      </w:r>
      <w:r w:rsidR="00445F60" w:rsidRPr="00B50A56">
        <w:rPr>
          <w:rFonts w:cs="Arial"/>
          <w:color w:val="000000" w:themeColor="text1"/>
          <w:sz w:val="21"/>
          <w:szCs w:val="21"/>
        </w:rPr>
        <w:t>heir policies and activities; engaging</w:t>
      </w:r>
      <w:r w:rsidRPr="00B50A56">
        <w:rPr>
          <w:rFonts w:cs="Arial"/>
          <w:color w:val="000000" w:themeColor="text1"/>
          <w:sz w:val="21"/>
          <w:szCs w:val="21"/>
        </w:rPr>
        <w:t xml:space="preserve"> wi</w:t>
      </w:r>
      <w:r w:rsidR="00445F60" w:rsidRPr="00B50A56">
        <w:rPr>
          <w:rFonts w:cs="Arial"/>
          <w:color w:val="000000" w:themeColor="text1"/>
          <w:sz w:val="21"/>
          <w:szCs w:val="21"/>
        </w:rPr>
        <w:t xml:space="preserve">th front-line staff to promote </w:t>
      </w:r>
      <w:r w:rsidR="00630375">
        <w:rPr>
          <w:rFonts w:cs="Arial"/>
          <w:color w:val="000000" w:themeColor="text1"/>
          <w:sz w:val="21"/>
          <w:szCs w:val="21"/>
        </w:rPr>
        <w:t>Trust’s</w:t>
      </w:r>
      <w:r w:rsidRPr="00B50A56">
        <w:rPr>
          <w:rFonts w:cs="Arial"/>
          <w:color w:val="000000" w:themeColor="text1"/>
          <w:sz w:val="21"/>
          <w:szCs w:val="21"/>
        </w:rPr>
        <w:t xml:space="preserve"> existing programmes on sustainability </w:t>
      </w:r>
      <w:r w:rsidR="00B50A56" w:rsidRPr="00B50A56">
        <w:rPr>
          <w:rFonts w:cs="Arial"/>
          <w:color w:val="000000" w:themeColor="text1"/>
          <w:sz w:val="21"/>
          <w:szCs w:val="21"/>
        </w:rPr>
        <w:t>and link</w:t>
      </w:r>
      <w:r w:rsidR="00630375">
        <w:rPr>
          <w:rFonts w:cs="Arial"/>
          <w:color w:val="000000" w:themeColor="text1"/>
          <w:sz w:val="21"/>
          <w:szCs w:val="21"/>
        </w:rPr>
        <w:t xml:space="preserve"> these </w:t>
      </w:r>
      <w:proofErr w:type="spellStart"/>
      <w:r w:rsidR="00630375">
        <w:rPr>
          <w:rFonts w:cs="Arial"/>
          <w:color w:val="000000" w:themeColor="text1"/>
          <w:sz w:val="21"/>
          <w:szCs w:val="21"/>
        </w:rPr>
        <w:t>to</w:t>
      </w:r>
      <w:proofErr w:type="spellEnd"/>
      <w:r w:rsidR="00630375">
        <w:rPr>
          <w:rFonts w:cs="Arial"/>
          <w:color w:val="000000" w:themeColor="text1"/>
          <w:sz w:val="21"/>
          <w:szCs w:val="21"/>
        </w:rPr>
        <w:t xml:space="preserve"> initiatives on q</w:t>
      </w:r>
      <w:r w:rsidR="00B50A56" w:rsidRPr="00B50A56">
        <w:rPr>
          <w:rFonts w:cs="Arial"/>
          <w:color w:val="000000" w:themeColor="text1"/>
          <w:sz w:val="21"/>
          <w:szCs w:val="21"/>
        </w:rPr>
        <w:t>uality and clinical governance</w:t>
      </w:r>
      <w:r w:rsidRPr="00B50A56">
        <w:rPr>
          <w:rFonts w:cs="Arial"/>
          <w:color w:val="000000" w:themeColor="text1"/>
          <w:sz w:val="21"/>
          <w:szCs w:val="21"/>
        </w:rPr>
        <w:t xml:space="preserve">; </w:t>
      </w:r>
      <w:r w:rsidRPr="00B50A56">
        <w:rPr>
          <w:rFonts w:cs="Arial"/>
          <w:color w:val="000000" w:themeColor="text1"/>
          <w:sz w:val="21"/>
          <w:szCs w:val="21"/>
          <w:lang w:val="en-US"/>
        </w:rPr>
        <w:t>run</w:t>
      </w:r>
      <w:r w:rsidR="00630375">
        <w:rPr>
          <w:rFonts w:cs="Arial"/>
          <w:color w:val="000000" w:themeColor="text1"/>
          <w:sz w:val="21"/>
          <w:szCs w:val="21"/>
          <w:lang w:val="en-US"/>
        </w:rPr>
        <w:t>ning</w:t>
      </w:r>
      <w:r w:rsidRPr="00B50A56">
        <w:rPr>
          <w:rFonts w:cs="Arial"/>
          <w:color w:val="000000" w:themeColor="text1"/>
          <w:sz w:val="21"/>
          <w:szCs w:val="21"/>
          <w:lang w:val="en-US"/>
        </w:rPr>
        <w:t xml:space="preserve"> a Green Ward Competition alongside, and feeding into, </w:t>
      </w:r>
      <w:r w:rsidR="00630375">
        <w:rPr>
          <w:rFonts w:cs="Arial"/>
          <w:color w:val="000000" w:themeColor="text1"/>
          <w:sz w:val="21"/>
          <w:szCs w:val="21"/>
          <w:lang w:val="en-US"/>
        </w:rPr>
        <w:t>existing initiatives; promote the Trust’s</w:t>
      </w:r>
      <w:r w:rsidRPr="00B50A56">
        <w:rPr>
          <w:rFonts w:cs="Arial"/>
          <w:color w:val="000000" w:themeColor="text1"/>
          <w:sz w:val="21"/>
          <w:szCs w:val="21"/>
          <w:lang w:val="en-US"/>
        </w:rPr>
        <w:t xml:space="preserve"> work on sustainability through networks, publications and conference submissions.</w:t>
      </w:r>
    </w:p>
    <w:p w14:paraId="4C397880" w14:textId="77777777" w:rsidR="00796D5F" w:rsidRPr="00445F60" w:rsidRDefault="00796D5F" w:rsidP="003747E4">
      <w:pPr>
        <w:widowControl w:val="0"/>
        <w:autoSpaceDE w:val="0"/>
        <w:autoSpaceDN w:val="0"/>
        <w:adjustRightInd w:val="0"/>
        <w:spacing w:after="120"/>
        <w:jc w:val="both"/>
        <w:rPr>
          <w:rFonts w:cs="Arial"/>
          <w:b/>
          <w:color w:val="000000" w:themeColor="text1"/>
          <w:sz w:val="21"/>
          <w:szCs w:val="21"/>
        </w:rPr>
      </w:pPr>
    </w:p>
    <w:p w14:paraId="786C5EC2" w14:textId="0382CF97" w:rsidR="00E51BE7" w:rsidRDefault="00796D5F" w:rsidP="003747E4">
      <w:pPr>
        <w:spacing w:after="360"/>
        <w:jc w:val="both"/>
        <w:rPr>
          <w:rFonts w:asciiTheme="majorHAnsi" w:hAnsiTheme="majorHAnsi"/>
          <w:b/>
          <w:sz w:val="22"/>
          <w:szCs w:val="21"/>
        </w:rPr>
      </w:pPr>
      <w:r w:rsidRPr="00E51BE7">
        <w:rPr>
          <w:rFonts w:asciiTheme="majorHAnsi" w:hAnsiTheme="majorHAnsi"/>
          <w:b/>
          <w:sz w:val="22"/>
          <w:szCs w:val="21"/>
        </w:rPr>
        <w:t>SECTION B. SPECIFIC PROJECT</w:t>
      </w:r>
      <w:r w:rsidR="00E51BE7">
        <w:rPr>
          <w:rFonts w:asciiTheme="majorHAnsi" w:hAnsiTheme="majorHAnsi"/>
          <w:b/>
          <w:sz w:val="22"/>
          <w:szCs w:val="21"/>
        </w:rPr>
        <w:t xml:space="preserve"> RECOMMENDATION</w:t>
      </w:r>
      <w:r w:rsidRPr="00E51BE7">
        <w:rPr>
          <w:rFonts w:asciiTheme="majorHAnsi" w:hAnsiTheme="majorHAnsi"/>
          <w:b/>
          <w:sz w:val="22"/>
          <w:szCs w:val="21"/>
        </w:rPr>
        <w:t xml:space="preserve">S </w:t>
      </w:r>
    </w:p>
    <w:p w14:paraId="72C7D4AD" w14:textId="77777777" w:rsidR="00675009" w:rsidRPr="00445F60" w:rsidRDefault="00675009" w:rsidP="00675009">
      <w:pPr>
        <w:pStyle w:val="ListParagraph"/>
        <w:numPr>
          <w:ilvl w:val="0"/>
          <w:numId w:val="29"/>
        </w:numPr>
        <w:spacing w:after="120"/>
        <w:ind w:left="360"/>
        <w:jc w:val="both"/>
        <w:rPr>
          <w:rFonts w:asciiTheme="majorHAnsi" w:hAnsiTheme="majorHAnsi"/>
          <w:b/>
          <w:sz w:val="21"/>
          <w:szCs w:val="21"/>
        </w:rPr>
      </w:pPr>
      <w:r w:rsidRPr="00445F60">
        <w:rPr>
          <w:rFonts w:asciiTheme="majorHAnsi" w:hAnsiTheme="majorHAnsi"/>
          <w:b/>
          <w:sz w:val="21"/>
          <w:szCs w:val="21"/>
        </w:rPr>
        <w:t>Project: Commissioning of remote clinic consultations</w:t>
      </w:r>
    </w:p>
    <w:p w14:paraId="7736F312" w14:textId="77777777" w:rsidR="00675009" w:rsidRPr="00445F60" w:rsidRDefault="00675009" w:rsidP="00675009">
      <w:pPr>
        <w:spacing w:after="120"/>
        <w:jc w:val="both"/>
        <w:rPr>
          <w:rFonts w:ascii="Calibri" w:hAnsi="Calibri"/>
          <w:sz w:val="21"/>
          <w:szCs w:val="21"/>
        </w:rPr>
      </w:pPr>
      <w:r w:rsidRPr="00445F60">
        <w:rPr>
          <w:rFonts w:asciiTheme="majorHAnsi" w:hAnsiTheme="majorHAnsi"/>
          <w:sz w:val="21"/>
          <w:szCs w:val="21"/>
        </w:rPr>
        <w:t>Clinical area:</w:t>
      </w:r>
      <w:r w:rsidRPr="00445F60">
        <w:rPr>
          <w:rFonts w:ascii="Calibri" w:hAnsi="Calibri"/>
          <w:sz w:val="21"/>
          <w:szCs w:val="21"/>
        </w:rPr>
        <w:t xml:space="preserve"> kidney care (but relevant to many others)</w:t>
      </w:r>
    </w:p>
    <w:p w14:paraId="1217EE0E" w14:textId="77777777" w:rsidR="00675009" w:rsidRPr="00445F60" w:rsidRDefault="00675009" w:rsidP="00675009">
      <w:pPr>
        <w:spacing w:after="120"/>
        <w:jc w:val="both"/>
        <w:rPr>
          <w:rFonts w:ascii="Calibri" w:hAnsi="Calibri"/>
          <w:sz w:val="21"/>
          <w:szCs w:val="21"/>
        </w:rPr>
      </w:pPr>
      <w:r w:rsidRPr="00445F60">
        <w:rPr>
          <w:rFonts w:asciiTheme="majorHAnsi" w:hAnsiTheme="majorHAnsi"/>
          <w:sz w:val="21"/>
          <w:szCs w:val="21"/>
        </w:rPr>
        <w:t>Project goal:</w:t>
      </w:r>
      <w:r w:rsidRPr="00445F60">
        <w:rPr>
          <w:rFonts w:ascii="Calibri" w:hAnsi="Calibri"/>
          <w:sz w:val="21"/>
          <w:szCs w:val="21"/>
        </w:rPr>
        <w:t xml:space="preserve"> to develop a strategy for facilitating the commissioning of non-face-to-face clinic consultations in kidney care. </w:t>
      </w:r>
    </w:p>
    <w:p w14:paraId="3B1453F2" w14:textId="77777777" w:rsidR="00675009" w:rsidRPr="00445F60" w:rsidRDefault="00675009" w:rsidP="00675009">
      <w:pPr>
        <w:spacing w:after="120"/>
        <w:jc w:val="both"/>
        <w:rPr>
          <w:rFonts w:ascii="Calibri" w:hAnsi="Calibri"/>
          <w:sz w:val="21"/>
          <w:szCs w:val="21"/>
        </w:rPr>
      </w:pPr>
      <w:r w:rsidRPr="00445F60">
        <w:rPr>
          <w:rFonts w:asciiTheme="majorHAnsi" w:hAnsiTheme="majorHAnsi"/>
          <w:sz w:val="21"/>
          <w:szCs w:val="21"/>
        </w:rPr>
        <w:t>Background:</w:t>
      </w:r>
      <w:r w:rsidRPr="00445F60">
        <w:rPr>
          <w:rFonts w:ascii="Calibri" w:hAnsi="Calibri"/>
          <w:sz w:val="21"/>
          <w:szCs w:val="21"/>
        </w:rPr>
        <w:t xml:space="preserve"> many </w:t>
      </w:r>
      <w:proofErr w:type="spellStart"/>
      <w:r w:rsidRPr="00445F60">
        <w:rPr>
          <w:rFonts w:ascii="Calibri" w:hAnsi="Calibri"/>
          <w:sz w:val="21"/>
          <w:szCs w:val="21"/>
        </w:rPr>
        <w:t>renal</w:t>
      </w:r>
      <w:proofErr w:type="spellEnd"/>
      <w:r w:rsidRPr="00445F60">
        <w:rPr>
          <w:rFonts w:ascii="Calibri" w:hAnsi="Calibri"/>
          <w:sz w:val="21"/>
          <w:szCs w:val="21"/>
        </w:rPr>
        <w:t xml:space="preserve"> units operate over wide geographical areas, providing specialist services for populations far beyond their own hospital’s immediate catchment area. For such a laboratory results-driven specialty, remote consultations – either by phone or video-link – offer the potential to deliver care close to home without the associated carbon impact of staff travel. However, the tariffs for non-face-to-face consultations are proving a significant barrier to </w:t>
      </w:r>
      <w:proofErr w:type="spellStart"/>
      <w:r w:rsidRPr="00445F60">
        <w:rPr>
          <w:rFonts w:ascii="Calibri" w:hAnsi="Calibri"/>
          <w:sz w:val="21"/>
          <w:szCs w:val="21"/>
        </w:rPr>
        <w:t>renal</w:t>
      </w:r>
      <w:proofErr w:type="spellEnd"/>
      <w:r w:rsidRPr="00445F60">
        <w:rPr>
          <w:rFonts w:ascii="Calibri" w:hAnsi="Calibri"/>
          <w:sz w:val="21"/>
          <w:szCs w:val="21"/>
        </w:rPr>
        <w:t xml:space="preserve"> units wishing to set up remote clinics, with remuneration falling far short of the national tariff for on-site clinic visits. This project will explore the practicalities of commissioning for new models of care. </w:t>
      </w:r>
    </w:p>
    <w:p w14:paraId="15E541FC" w14:textId="77777777" w:rsidR="00675009" w:rsidRPr="00445F60" w:rsidRDefault="00675009" w:rsidP="00675009">
      <w:pPr>
        <w:spacing w:after="120"/>
        <w:jc w:val="both"/>
        <w:rPr>
          <w:rFonts w:ascii="Calibri" w:hAnsi="Calibri"/>
          <w:sz w:val="21"/>
          <w:szCs w:val="21"/>
        </w:rPr>
      </w:pPr>
      <w:r w:rsidRPr="00445F60">
        <w:rPr>
          <w:rFonts w:asciiTheme="majorHAnsi" w:hAnsiTheme="majorHAnsi"/>
          <w:sz w:val="21"/>
          <w:szCs w:val="21"/>
        </w:rPr>
        <w:t>Activities:</w:t>
      </w:r>
      <w:r w:rsidRPr="00445F60">
        <w:rPr>
          <w:rFonts w:ascii="Calibri" w:hAnsi="Calibri"/>
          <w:sz w:val="21"/>
          <w:szCs w:val="21"/>
        </w:rPr>
        <w:t xml:space="preserve"> conducting a systematic review of existing remote care models and their commissioning arrangements; conducting focus groups with patients, clinicians, managers and commissioners; and development of a project proposal for subsequent work to facilitate remote clinic consultations in kidney care.</w:t>
      </w:r>
    </w:p>
    <w:p w14:paraId="1FE2EBFF" w14:textId="77777777" w:rsidR="00675009" w:rsidRDefault="00675009" w:rsidP="00675009">
      <w:pPr>
        <w:pStyle w:val="ListParagraph"/>
        <w:spacing w:after="120"/>
        <w:ind w:left="360"/>
        <w:jc w:val="both"/>
        <w:rPr>
          <w:rFonts w:asciiTheme="majorHAnsi" w:hAnsiTheme="majorHAnsi" w:cs="Arial"/>
          <w:b/>
          <w:sz w:val="21"/>
          <w:szCs w:val="21"/>
        </w:rPr>
      </w:pPr>
    </w:p>
    <w:p w14:paraId="55F9FF26" w14:textId="378C63F1" w:rsidR="00675009" w:rsidRPr="00445F60" w:rsidRDefault="00675009" w:rsidP="00675009">
      <w:pPr>
        <w:pStyle w:val="ListParagraph"/>
        <w:numPr>
          <w:ilvl w:val="0"/>
          <w:numId w:val="29"/>
        </w:numPr>
        <w:spacing w:after="120"/>
        <w:ind w:left="360"/>
        <w:jc w:val="both"/>
        <w:rPr>
          <w:rFonts w:asciiTheme="majorHAnsi" w:hAnsiTheme="majorHAnsi" w:cs="Arial"/>
          <w:b/>
          <w:sz w:val="21"/>
          <w:szCs w:val="21"/>
        </w:rPr>
      </w:pPr>
      <w:r w:rsidRPr="00445F60">
        <w:rPr>
          <w:rFonts w:asciiTheme="majorHAnsi" w:hAnsiTheme="majorHAnsi" w:cs="Arial"/>
          <w:b/>
          <w:sz w:val="21"/>
          <w:szCs w:val="21"/>
        </w:rPr>
        <w:t>Project: Green Renal Unit Guide</w:t>
      </w:r>
    </w:p>
    <w:p w14:paraId="72BE45DE" w14:textId="77777777" w:rsidR="00675009" w:rsidRPr="00445F60" w:rsidRDefault="00675009" w:rsidP="00675009">
      <w:pPr>
        <w:spacing w:after="120"/>
        <w:jc w:val="both"/>
        <w:rPr>
          <w:rFonts w:ascii="Calibri" w:hAnsi="Calibri" w:cs="Arial"/>
          <w:sz w:val="21"/>
          <w:szCs w:val="21"/>
        </w:rPr>
      </w:pPr>
      <w:r w:rsidRPr="00445F60">
        <w:rPr>
          <w:rFonts w:asciiTheme="majorHAnsi" w:hAnsiTheme="majorHAnsi" w:cs="Arial"/>
          <w:sz w:val="21"/>
          <w:szCs w:val="21"/>
        </w:rPr>
        <w:t>Clinical area:</w:t>
      </w:r>
      <w:r w:rsidRPr="00445F60">
        <w:rPr>
          <w:rFonts w:ascii="Calibri" w:hAnsi="Calibri" w:cs="Arial"/>
          <w:sz w:val="21"/>
          <w:szCs w:val="21"/>
        </w:rPr>
        <w:t xml:space="preserve"> kidney care</w:t>
      </w:r>
    </w:p>
    <w:p w14:paraId="088B5987" w14:textId="77777777" w:rsidR="00675009" w:rsidRPr="00445F60" w:rsidRDefault="00675009" w:rsidP="00675009">
      <w:pPr>
        <w:spacing w:after="120"/>
        <w:jc w:val="both"/>
        <w:rPr>
          <w:rFonts w:ascii="Calibri" w:hAnsi="Calibri" w:cs="Arial"/>
          <w:sz w:val="21"/>
          <w:szCs w:val="21"/>
        </w:rPr>
      </w:pPr>
      <w:r w:rsidRPr="00445F60">
        <w:rPr>
          <w:rFonts w:asciiTheme="majorHAnsi" w:hAnsiTheme="majorHAnsi" w:cs="Arial"/>
          <w:sz w:val="21"/>
          <w:szCs w:val="21"/>
        </w:rPr>
        <w:t>Project goal:</w:t>
      </w:r>
      <w:r w:rsidRPr="00445F60">
        <w:rPr>
          <w:rFonts w:ascii="Calibri" w:hAnsi="Calibri" w:cs="Arial"/>
          <w:sz w:val="21"/>
          <w:szCs w:val="21"/>
        </w:rPr>
        <w:t xml:space="preserve"> to develop a sustainability guide for </w:t>
      </w:r>
      <w:r w:rsidRPr="00445F60">
        <w:rPr>
          <w:rFonts w:ascii="Calibri" w:hAnsi="Calibri"/>
          <w:sz w:val="21"/>
          <w:szCs w:val="21"/>
        </w:rPr>
        <w:t>the commissioning of new renal facilities, particularly satellite dialysis units.</w:t>
      </w:r>
    </w:p>
    <w:p w14:paraId="64F63787" w14:textId="77777777" w:rsidR="00675009" w:rsidRPr="00445F60" w:rsidRDefault="00675009" w:rsidP="00675009">
      <w:pPr>
        <w:spacing w:after="120"/>
        <w:jc w:val="both"/>
        <w:rPr>
          <w:rFonts w:ascii="Calibri" w:hAnsi="Calibri"/>
          <w:sz w:val="21"/>
          <w:szCs w:val="21"/>
        </w:rPr>
      </w:pPr>
      <w:r w:rsidRPr="00445F60">
        <w:rPr>
          <w:rFonts w:asciiTheme="majorHAnsi" w:hAnsiTheme="majorHAnsi" w:cs="Arial"/>
          <w:sz w:val="21"/>
          <w:szCs w:val="21"/>
        </w:rPr>
        <w:t>Background:</w:t>
      </w:r>
      <w:r w:rsidRPr="00445F60">
        <w:rPr>
          <w:rFonts w:ascii="Calibri" w:hAnsi="Calibri" w:cs="Arial"/>
          <w:sz w:val="21"/>
          <w:szCs w:val="21"/>
        </w:rPr>
        <w:t xml:space="preserve"> this project has been chosen in response to requests for guidance from renal services </w:t>
      </w:r>
      <w:r w:rsidRPr="00445F60">
        <w:rPr>
          <w:rFonts w:ascii="Calibri" w:hAnsi="Calibri"/>
          <w:sz w:val="21"/>
          <w:szCs w:val="21"/>
        </w:rPr>
        <w:t xml:space="preserve">wishing to incorporate sustainable features into new facilities. There is scope to reduce the environmental impact of many of the processes occurring within renal services. Many such opportunities have been explored by CSH’s national Green Nephrology Programme and are available as case studies or ‘how to’ guides. However, existing infrastructure can be a limiting factor to their implementation. For example, the use of water salvage techniques may be hindered by the absence of a space for a storage tank. Whilst it may be possible to alter the infrastructure to allow the adoption of individual greener practices, it would be preferable to design the capability into the facility at the time of the build. </w:t>
      </w:r>
    </w:p>
    <w:p w14:paraId="54BD2BAE" w14:textId="77777777" w:rsidR="00675009" w:rsidRPr="00445F60" w:rsidRDefault="00675009" w:rsidP="00675009">
      <w:pPr>
        <w:spacing w:after="120"/>
        <w:jc w:val="both"/>
        <w:rPr>
          <w:rFonts w:ascii="Calibri" w:hAnsi="Calibri"/>
          <w:sz w:val="21"/>
          <w:szCs w:val="21"/>
        </w:rPr>
      </w:pPr>
      <w:r w:rsidRPr="00445F60">
        <w:rPr>
          <w:rFonts w:asciiTheme="majorHAnsi" w:hAnsiTheme="majorHAnsi"/>
          <w:sz w:val="21"/>
          <w:szCs w:val="21"/>
        </w:rPr>
        <w:t>Activities:</w:t>
      </w:r>
      <w:r w:rsidRPr="00445F60">
        <w:rPr>
          <w:rFonts w:ascii="Calibri" w:hAnsi="Calibri"/>
          <w:sz w:val="21"/>
          <w:szCs w:val="21"/>
        </w:rPr>
        <w:t xml:space="preserve"> coordinating working group(s), research of topic areas, compiling resources, writing, obtaining feedback from renal services, overseeing design and layout of the Guide, presenting to meetings and conferences, authoring and submitting articles for publication. Where feasible, the scholar will gain hands-on experience through participation in actual commissioning of new facilities. The project will also explore the opportunity to work with the Dialysis Clinical Reference Group for NHS England to incorporate this guidance into Health Building Note 07-01 (Satellite Dialysis Unit).</w:t>
      </w:r>
    </w:p>
    <w:p w14:paraId="713653FE" w14:textId="77777777" w:rsidR="00675009" w:rsidRDefault="00675009" w:rsidP="00675009">
      <w:pPr>
        <w:pStyle w:val="ListParagraph"/>
        <w:spacing w:after="120"/>
        <w:ind w:left="360"/>
        <w:jc w:val="both"/>
        <w:rPr>
          <w:rFonts w:asciiTheme="majorHAnsi" w:hAnsiTheme="majorHAnsi"/>
          <w:b/>
          <w:sz w:val="21"/>
          <w:szCs w:val="21"/>
        </w:rPr>
      </w:pPr>
    </w:p>
    <w:p w14:paraId="02A94E85" w14:textId="77777777" w:rsidR="00675009" w:rsidRPr="00191241" w:rsidRDefault="00675009" w:rsidP="00675009">
      <w:pPr>
        <w:pStyle w:val="ListParagraph"/>
        <w:numPr>
          <w:ilvl w:val="0"/>
          <w:numId w:val="29"/>
        </w:numPr>
        <w:spacing w:after="120"/>
        <w:ind w:left="360"/>
        <w:jc w:val="both"/>
        <w:rPr>
          <w:rFonts w:asciiTheme="majorHAnsi" w:hAnsiTheme="majorHAnsi"/>
          <w:b/>
          <w:sz w:val="21"/>
          <w:szCs w:val="21"/>
        </w:rPr>
      </w:pPr>
      <w:r w:rsidRPr="00191241">
        <w:rPr>
          <w:rFonts w:asciiTheme="majorHAnsi" w:hAnsiTheme="majorHAnsi"/>
          <w:b/>
          <w:sz w:val="21"/>
          <w:szCs w:val="21"/>
        </w:rPr>
        <w:lastRenderedPageBreak/>
        <w:t xml:space="preserve">Project: Green Impact for Health </w:t>
      </w:r>
    </w:p>
    <w:p w14:paraId="3435E416" w14:textId="77777777" w:rsidR="00675009" w:rsidRPr="00B50A56" w:rsidRDefault="00675009" w:rsidP="00675009">
      <w:pPr>
        <w:spacing w:after="120"/>
        <w:jc w:val="both"/>
        <w:rPr>
          <w:rFonts w:asciiTheme="majorHAnsi" w:hAnsiTheme="majorHAnsi"/>
          <w:sz w:val="21"/>
          <w:szCs w:val="21"/>
        </w:rPr>
      </w:pPr>
      <w:r w:rsidRPr="00B50A56">
        <w:rPr>
          <w:rFonts w:asciiTheme="majorHAnsi" w:hAnsiTheme="majorHAnsi"/>
          <w:sz w:val="21"/>
          <w:szCs w:val="21"/>
        </w:rPr>
        <w:t>Clinical area:</w:t>
      </w:r>
      <w:r>
        <w:rPr>
          <w:rFonts w:asciiTheme="majorHAnsi" w:hAnsiTheme="majorHAnsi"/>
          <w:sz w:val="21"/>
          <w:szCs w:val="21"/>
        </w:rPr>
        <w:t xml:space="preserve"> </w:t>
      </w:r>
      <w:r w:rsidRPr="00B50A56">
        <w:rPr>
          <w:rFonts w:ascii="Calibri" w:hAnsi="Calibri"/>
          <w:sz w:val="21"/>
          <w:szCs w:val="21"/>
        </w:rPr>
        <w:t>primary care</w:t>
      </w:r>
    </w:p>
    <w:p w14:paraId="127BFA70" w14:textId="77777777" w:rsidR="00675009" w:rsidRPr="00445F60" w:rsidRDefault="00675009" w:rsidP="00675009">
      <w:pPr>
        <w:spacing w:after="120"/>
        <w:jc w:val="both"/>
        <w:rPr>
          <w:sz w:val="21"/>
          <w:szCs w:val="21"/>
        </w:rPr>
      </w:pPr>
      <w:r w:rsidRPr="00B50A56">
        <w:rPr>
          <w:rFonts w:asciiTheme="majorHAnsi" w:hAnsiTheme="majorHAnsi"/>
          <w:sz w:val="21"/>
          <w:szCs w:val="21"/>
        </w:rPr>
        <w:t>Project goal:</w:t>
      </w:r>
      <w:r>
        <w:rPr>
          <w:sz w:val="21"/>
          <w:szCs w:val="21"/>
        </w:rPr>
        <w:t xml:space="preserve"> to facilitate the engagement of GP practices with the Green Impact for Health programme</w:t>
      </w:r>
      <w:r w:rsidRPr="00445F60">
        <w:rPr>
          <w:sz w:val="21"/>
          <w:szCs w:val="21"/>
        </w:rPr>
        <w:t>.</w:t>
      </w:r>
    </w:p>
    <w:p w14:paraId="39434805" w14:textId="77777777" w:rsidR="00675009" w:rsidRPr="003747E4" w:rsidRDefault="00675009" w:rsidP="00675009">
      <w:pPr>
        <w:spacing w:after="120"/>
        <w:jc w:val="both"/>
        <w:rPr>
          <w:rFonts w:ascii="Cambria" w:eastAsia="MS Mincho" w:hAnsi="Cambria" w:cs="Times New Roman"/>
          <w:sz w:val="21"/>
          <w:szCs w:val="21"/>
          <w:lang w:val="en-US"/>
        </w:rPr>
      </w:pPr>
      <w:r w:rsidRPr="00B50A56">
        <w:rPr>
          <w:rFonts w:asciiTheme="majorHAnsi" w:hAnsiTheme="majorHAnsi"/>
          <w:sz w:val="21"/>
          <w:szCs w:val="21"/>
        </w:rPr>
        <w:t>Background</w:t>
      </w:r>
      <w:r>
        <w:rPr>
          <w:rFonts w:asciiTheme="majorHAnsi" w:hAnsiTheme="majorHAnsi"/>
          <w:sz w:val="21"/>
          <w:szCs w:val="21"/>
        </w:rPr>
        <w:t xml:space="preserve">: </w:t>
      </w:r>
      <w:r w:rsidRPr="001F0E53">
        <w:rPr>
          <w:rFonts w:ascii="Calibri" w:hAnsi="Calibri"/>
          <w:sz w:val="21"/>
          <w:szCs w:val="21"/>
        </w:rPr>
        <w:t>The National Union of Students’</w:t>
      </w:r>
      <w:r>
        <w:rPr>
          <w:rFonts w:asciiTheme="majorHAnsi" w:hAnsiTheme="majorHAnsi"/>
          <w:sz w:val="21"/>
          <w:szCs w:val="21"/>
        </w:rPr>
        <w:t xml:space="preserve"> </w:t>
      </w:r>
      <w:r>
        <w:rPr>
          <w:rFonts w:ascii="Calibri" w:hAnsi="Calibri"/>
          <w:sz w:val="21"/>
          <w:szCs w:val="21"/>
        </w:rPr>
        <w:t xml:space="preserve">Green Impact for Health (GIFH) was co-developed with the Severn Deanery GP Sustainability Scholars in 2014-15, and is now being rolled out nationally, supported by the RCGP and CSH. </w:t>
      </w:r>
      <w:r w:rsidRPr="001F0E53">
        <w:rPr>
          <w:rFonts w:ascii="Calibri" w:hAnsi="Calibri"/>
          <w:sz w:val="21"/>
          <w:szCs w:val="21"/>
        </w:rPr>
        <w:t>Practice teams register online for access to an evidence-based toolkit containing actions designed to help GP surgeries improve their sustainability and environmental impact.</w:t>
      </w:r>
      <w:r>
        <w:rPr>
          <w:rFonts w:ascii="Calibri" w:hAnsi="Calibri"/>
          <w:sz w:val="21"/>
          <w:szCs w:val="21"/>
        </w:rPr>
        <w:t xml:space="preserve"> Teams then complete the actions to be considered for a GIFH national award.</w:t>
      </w:r>
    </w:p>
    <w:p w14:paraId="652EBD88" w14:textId="77777777" w:rsidR="00675009" w:rsidRPr="00445F60" w:rsidRDefault="00675009" w:rsidP="00675009">
      <w:pPr>
        <w:spacing w:after="120"/>
        <w:jc w:val="both"/>
        <w:rPr>
          <w:sz w:val="21"/>
          <w:szCs w:val="21"/>
        </w:rPr>
      </w:pPr>
      <w:r w:rsidRPr="00B50A56">
        <w:rPr>
          <w:rFonts w:asciiTheme="majorHAnsi" w:hAnsiTheme="majorHAnsi"/>
          <w:sz w:val="21"/>
          <w:szCs w:val="21"/>
        </w:rPr>
        <w:t>Activities:</w:t>
      </w:r>
      <w:r>
        <w:rPr>
          <w:sz w:val="21"/>
          <w:szCs w:val="21"/>
        </w:rPr>
        <w:t xml:space="preserve"> Collaborating</w:t>
      </w:r>
      <w:r w:rsidRPr="00445F60">
        <w:rPr>
          <w:sz w:val="21"/>
          <w:szCs w:val="21"/>
        </w:rPr>
        <w:t xml:space="preserve"> with colleagues in</w:t>
      </w:r>
      <w:r>
        <w:rPr>
          <w:sz w:val="21"/>
          <w:szCs w:val="21"/>
        </w:rPr>
        <w:t xml:space="preserve"> a</w:t>
      </w:r>
      <w:r w:rsidRPr="00445F60">
        <w:rPr>
          <w:sz w:val="21"/>
          <w:szCs w:val="21"/>
        </w:rPr>
        <w:t xml:space="preserve"> primary care setting to use the </w:t>
      </w:r>
      <w:r>
        <w:rPr>
          <w:sz w:val="21"/>
          <w:szCs w:val="21"/>
        </w:rPr>
        <w:t>GIFH tool, completing</w:t>
      </w:r>
      <w:r w:rsidRPr="00445F60">
        <w:rPr>
          <w:sz w:val="21"/>
          <w:szCs w:val="21"/>
        </w:rPr>
        <w:t xml:space="preserve"> actions to improve sustainability in areas of practice</w:t>
      </w:r>
      <w:r>
        <w:rPr>
          <w:sz w:val="21"/>
          <w:szCs w:val="21"/>
        </w:rPr>
        <w:t>; facilitating engagement of other GP practices with GIFH through local/national networks, GP training schemes, relevant events and publications; contributing to ongoing development of the GIFH toolkit</w:t>
      </w:r>
      <w:r w:rsidRPr="00445F60">
        <w:rPr>
          <w:sz w:val="21"/>
          <w:szCs w:val="21"/>
        </w:rPr>
        <w:t>.</w:t>
      </w:r>
    </w:p>
    <w:p w14:paraId="44A900A3" w14:textId="77777777" w:rsidR="00675009" w:rsidRDefault="00675009" w:rsidP="00675009">
      <w:pPr>
        <w:pStyle w:val="ListParagraph"/>
        <w:spacing w:after="120"/>
        <w:ind w:left="360"/>
        <w:jc w:val="both"/>
        <w:rPr>
          <w:rFonts w:asciiTheme="majorHAnsi" w:hAnsiTheme="majorHAnsi"/>
          <w:b/>
          <w:sz w:val="21"/>
          <w:szCs w:val="21"/>
        </w:rPr>
      </w:pPr>
    </w:p>
    <w:p w14:paraId="2FD2F90C" w14:textId="7C3CD449" w:rsidR="00796D5F" w:rsidRPr="00445F60" w:rsidRDefault="00796D5F" w:rsidP="003747E4">
      <w:pPr>
        <w:pStyle w:val="ListParagraph"/>
        <w:numPr>
          <w:ilvl w:val="0"/>
          <w:numId w:val="29"/>
        </w:numPr>
        <w:spacing w:after="120"/>
        <w:ind w:left="360"/>
        <w:jc w:val="both"/>
        <w:rPr>
          <w:rFonts w:asciiTheme="majorHAnsi" w:hAnsiTheme="majorHAnsi"/>
          <w:b/>
          <w:sz w:val="21"/>
          <w:szCs w:val="21"/>
        </w:rPr>
      </w:pPr>
      <w:r w:rsidRPr="00445F60">
        <w:rPr>
          <w:rFonts w:asciiTheme="majorHAnsi" w:hAnsiTheme="majorHAnsi"/>
          <w:b/>
          <w:sz w:val="21"/>
          <w:szCs w:val="21"/>
        </w:rPr>
        <w:t>Project: improving inhaler technique education and training</w:t>
      </w:r>
    </w:p>
    <w:p w14:paraId="4BA91C19" w14:textId="77777777"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Clinical area:</w:t>
      </w:r>
      <w:r w:rsidRPr="00445F60">
        <w:rPr>
          <w:rFonts w:ascii="Calibri" w:hAnsi="Calibri" w:cs="Arial"/>
          <w:sz w:val="21"/>
          <w:szCs w:val="21"/>
        </w:rPr>
        <w:t xml:space="preserve"> primary care/ respiratory medicine</w:t>
      </w:r>
    </w:p>
    <w:p w14:paraId="31A7C3A6" w14:textId="77777777"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Project goal:</w:t>
      </w:r>
      <w:r w:rsidRPr="00445F60">
        <w:rPr>
          <w:rFonts w:ascii="Calibri" w:hAnsi="Calibri" w:cs="Arial"/>
          <w:sz w:val="21"/>
          <w:szCs w:val="21"/>
        </w:rPr>
        <w:t xml:space="preserve"> to improve inhaler technique education and training for patients and staff</w:t>
      </w:r>
    </w:p>
    <w:p w14:paraId="0C09859C" w14:textId="77777777"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Background:</w:t>
      </w:r>
      <w:r w:rsidRPr="00445F60">
        <w:rPr>
          <w:rFonts w:ascii="Calibri" w:hAnsi="Calibri" w:cs="Arial"/>
          <w:sz w:val="21"/>
          <w:szCs w:val="21"/>
        </w:rPr>
        <w:t xml:space="preserve"> respiratory inhalers are one of the single greatest contributors to NHS greenhouse gas emissions, making up 3.5% of the total emissions for NHS England, and are also the largest NHS pharmaceutical spend category. At the same time, studies show that between 50% and 90% of patients cannot use an inhaler correctly, while &gt;90% of the staff who meant to demonstrate correct technique are unable to do this themselves – resulting in poor disease control and increased healthcare demand.</w:t>
      </w:r>
    </w:p>
    <w:p w14:paraId="64575E07" w14:textId="77777777" w:rsidR="00796D5F" w:rsidRPr="00445F60" w:rsidRDefault="00796D5F" w:rsidP="003747E4">
      <w:pPr>
        <w:spacing w:after="120"/>
        <w:jc w:val="both"/>
        <w:rPr>
          <w:sz w:val="21"/>
          <w:szCs w:val="21"/>
        </w:rPr>
      </w:pPr>
      <w:r w:rsidRPr="00445F60">
        <w:rPr>
          <w:rFonts w:asciiTheme="majorHAnsi" w:hAnsiTheme="majorHAnsi"/>
          <w:sz w:val="21"/>
          <w:szCs w:val="21"/>
        </w:rPr>
        <w:t>Activities:</w:t>
      </w:r>
      <w:r w:rsidRPr="00445F60">
        <w:rPr>
          <w:sz w:val="21"/>
          <w:szCs w:val="21"/>
        </w:rPr>
        <w:t xml:space="preserve"> identifying training needs and reviewing existing training provision for patients and staff in primary and secondary care; researching best practice and available training resources; developing new training resources (e.g. videos) if necessary; designing and implementing a strategy for roll-out of improved training to all relevant groups in a local area; evaluating success/impact; developing a business case for further investment if needed.</w:t>
      </w:r>
    </w:p>
    <w:p w14:paraId="06BF20C4" w14:textId="77777777" w:rsidR="00796D5F" w:rsidRPr="00445F60" w:rsidRDefault="00796D5F" w:rsidP="003747E4">
      <w:pPr>
        <w:spacing w:after="120"/>
        <w:jc w:val="both"/>
        <w:rPr>
          <w:sz w:val="21"/>
          <w:szCs w:val="21"/>
        </w:rPr>
      </w:pPr>
    </w:p>
    <w:p w14:paraId="6D58BA18" w14:textId="77777777" w:rsidR="00796D5F" w:rsidRPr="00445F60" w:rsidRDefault="00796D5F" w:rsidP="003747E4">
      <w:pPr>
        <w:pStyle w:val="ListParagraph"/>
        <w:numPr>
          <w:ilvl w:val="0"/>
          <w:numId w:val="29"/>
        </w:numPr>
        <w:spacing w:after="120"/>
        <w:ind w:left="360"/>
        <w:jc w:val="both"/>
        <w:rPr>
          <w:rFonts w:asciiTheme="majorHAnsi" w:hAnsiTheme="majorHAnsi"/>
          <w:b/>
          <w:sz w:val="21"/>
          <w:szCs w:val="21"/>
        </w:rPr>
      </w:pPr>
      <w:r w:rsidRPr="00445F60">
        <w:rPr>
          <w:rFonts w:asciiTheme="majorHAnsi" w:hAnsiTheme="majorHAnsi"/>
          <w:b/>
          <w:sz w:val="21"/>
          <w:szCs w:val="21"/>
        </w:rPr>
        <w:t>Project: reducing use of unnecessary inhalers</w:t>
      </w:r>
    </w:p>
    <w:p w14:paraId="7FE82213" w14:textId="77777777"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Clinical area:</w:t>
      </w:r>
      <w:r w:rsidRPr="00445F60">
        <w:rPr>
          <w:rFonts w:ascii="Calibri" w:hAnsi="Calibri" w:cs="Arial"/>
          <w:sz w:val="21"/>
          <w:szCs w:val="21"/>
        </w:rPr>
        <w:t xml:space="preserve"> primary care/ respiratory medicine</w:t>
      </w:r>
    </w:p>
    <w:p w14:paraId="077040BF" w14:textId="77777777"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Project goal:</w:t>
      </w:r>
      <w:r w:rsidRPr="00445F60">
        <w:rPr>
          <w:rFonts w:ascii="Calibri" w:hAnsi="Calibri" w:cs="Arial"/>
          <w:sz w:val="21"/>
          <w:szCs w:val="21"/>
        </w:rPr>
        <w:t xml:space="preserve"> to reduce use of unnecessary inhalers, particularly over-prescription of inhaled corticosteroids in COPD</w:t>
      </w:r>
    </w:p>
    <w:p w14:paraId="78708D04" w14:textId="4DEF48FB"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Background:</w:t>
      </w:r>
      <w:r w:rsidRPr="00445F60">
        <w:rPr>
          <w:rFonts w:ascii="Calibri" w:hAnsi="Calibri" w:cs="Arial"/>
          <w:sz w:val="21"/>
          <w:szCs w:val="21"/>
        </w:rPr>
        <w:t xml:space="preserve"> respiratory inhalers</w:t>
      </w:r>
      <w:r w:rsidR="003F0AA0">
        <w:rPr>
          <w:rFonts w:ascii="Calibri" w:hAnsi="Calibri" w:cs="Arial"/>
          <w:sz w:val="21"/>
          <w:szCs w:val="21"/>
        </w:rPr>
        <w:t xml:space="preserve"> are</w:t>
      </w:r>
      <w:r w:rsidRPr="00445F60">
        <w:rPr>
          <w:rFonts w:ascii="Calibri" w:hAnsi="Calibri" w:cs="Arial"/>
          <w:sz w:val="21"/>
          <w:szCs w:val="21"/>
        </w:rPr>
        <w:t xml:space="preserve"> both environmentally and financially costly to the NHS, as outlined above. Despite being recommended only at Step 4 of asthma treatment, and with limited evidence for effectiveness in COPD, high dose corticosteroid inhalers are some of the highest volume items prescribed, suggesting a widespread </w:t>
      </w:r>
      <w:hyperlink r:id="rId9" w:history="1">
        <w:r w:rsidRPr="00445F60">
          <w:rPr>
            <w:rStyle w:val="Hyperlink"/>
            <w:rFonts w:ascii="Calibri" w:hAnsi="Calibri" w:cs="Arial"/>
            <w:sz w:val="21"/>
            <w:szCs w:val="21"/>
          </w:rPr>
          <w:t>over-use</w:t>
        </w:r>
      </w:hyperlink>
      <w:r w:rsidRPr="00445F60">
        <w:rPr>
          <w:rFonts w:ascii="Calibri" w:hAnsi="Calibri" w:cs="Arial"/>
          <w:sz w:val="21"/>
          <w:szCs w:val="21"/>
        </w:rPr>
        <w:t xml:space="preserve"> – at significant risk to patients.</w:t>
      </w:r>
    </w:p>
    <w:p w14:paraId="10DEC40C" w14:textId="77777777" w:rsidR="00796D5F" w:rsidRPr="00445F60" w:rsidRDefault="00796D5F" w:rsidP="003747E4">
      <w:pPr>
        <w:spacing w:after="120"/>
        <w:jc w:val="both"/>
        <w:rPr>
          <w:sz w:val="21"/>
          <w:szCs w:val="21"/>
        </w:rPr>
      </w:pPr>
      <w:r w:rsidRPr="00445F60">
        <w:rPr>
          <w:rFonts w:asciiTheme="majorHAnsi" w:hAnsiTheme="majorHAnsi"/>
          <w:sz w:val="21"/>
          <w:szCs w:val="21"/>
        </w:rPr>
        <w:t>Activities:</w:t>
      </w:r>
      <w:r w:rsidRPr="00445F60">
        <w:rPr>
          <w:sz w:val="21"/>
          <w:szCs w:val="21"/>
        </w:rPr>
        <w:t xml:space="preserve"> identifying baseline prescribing practices in different parts of a local care pathway; reviewing best practice in inhaler prescribing nationally (including </w:t>
      </w:r>
      <w:hyperlink r:id="rId10" w:history="1">
        <w:r w:rsidRPr="00445F60">
          <w:rPr>
            <w:rStyle w:val="Hyperlink"/>
            <w:sz w:val="21"/>
            <w:szCs w:val="21"/>
          </w:rPr>
          <w:t>key recommendations</w:t>
        </w:r>
      </w:hyperlink>
      <w:r w:rsidRPr="00445F60">
        <w:rPr>
          <w:sz w:val="21"/>
          <w:szCs w:val="21"/>
        </w:rPr>
        <w:t xml:space="preserve"> from the London Respiratory Clinical Leadership Group); conducting focus groups with local clinicians to understand how they could best be supported to improve prescribing; identifying available resources (e.g. Medication Use Reviews); designing and implementing a strategy for supporting improved local inhaler prescribing; evaluating success/impact; developing a business case for further investment if needed. </w:t>
      </w:r>
    </w:p>
    <w:p w14:paraId="4D13C1EC" w14:textId="1B6574A7" w:rsidR="00796D5F" w:rsidRDefault="00796D5F" w:rsidP="003747E4">
      <w:pPr>
        <w:spacing w:after="120"/>
        <w:jc w:val="both"/>
        <w:rPr>
          <w:sz w:val="21"/>
          <w:szCs w:val="21"/>
        </w:rPr>
      </w:pPr>
    </w:p>
    <w:p w14:paraId="1E38E33E" w14:textId="53F648BC" w:rsidR="00B01B99" w:rsidRDefault="00B01B99" w:rsidP="003747E4">
      <w:pPr>
        <w:spacing w:after="120"/>
        <w:jc w:val="both"/>
        <w:rPr>
          <w:sz w:val="21"/>
          <w:szCs w:val="21"/>
        </w:rPr>
      </w:pPr>
    </w:p>
    <w:p w14:paraId="2A51278B" w14:textId="77777777" w:rsidR="00B01B99" w:rsidRPr="00445F60" w:rsidRDefault="00B01B99" w:rsidP="003747E4">
      <w:pPr>
        <w:spacing w:after="120"/>
        <w:jc w:val="both"/>
        <w:rPr>
          <w:sz w:val="21"/>
          <w:szCs w:val="21"/>
        </w:rPr>
      </w:pPr>
    </w:p>
    <w:p w14:paraId="0A03521B" w14:textId="77777777" w:rsidR="00796D5F" w:rsidRPr="00445F60" w:rsidRDefault="00796D5F" w:rsidP="003747E4">
      <w:pPr>
        <w:pStyle w:val="ListParagraph"/>
        <w:numPr>
          <w:ilvl w:val="0"/>
          <w:numId w:val="29"/>
        </w:numPr>
        <w:spacing w:after="120"/>
        <w:ind w:left="360"/>
        <w:jc w:val="both"/>
        <w:rPr>
          <w:rFonts w:asciiTheme="majorHAnsi" w:hAnsiTheme="majorHAnsi"/>
          <w:b/>
          <w:sz w:val="21"/>
          <w:szCs w:val="21"/>
        </w:rPr>
      </w:pPr>
      <w:r w:rsidRPr="00445F60">
        <w:rPr>
          <w:rFonts w:asciiTheme="majorHAnsi" w:hAnsiTheme="majorHAnsi"/>
          <w:b/>
          <w:sz w:val="21"/>
          <w:szCs w:val="21"/>
        </w:rPr>
        <w:lastRenderedPageBreak/>
        <w:t>Project: promoting inhaler recycling</w:t>
      </w:r>
    </w:p>
    <w:p w14:paraId="3C718158" w14:textId="77777777"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 xml:space="preserve">Clinical area: </w:t>
      </w:r>
      <w:r w:rsidRPr="00445F60">
        <w:rPr>
          <w:rFonts w:ascii="Calibri" w:hAnsi="Calibri" w:cs="Arial"/>
          <w:sz w:val="21"/>
          <w:szCs w:val="21"/>
        </w:rPr>
        <w:t>primary care/ respiratory medicine</w:t>
      </w:r>
    </w:p>
    <w:p w14:paraId="697BD4E6" w14:textId="77777777" w:rsidR="00796D5F" w:rsidRPr="00445F60" w:rsidRDefault="00796D5F" w:rsidP="003747E4">
      <w:pPr>
        <w:spacing w:after="120"/>
        <w:jc w:val="both"/>
        <w:rPr>
          <w:rFonts w:ascii="Calibri" w:hAnsi="Calibri" w:cs="Arial"/>
          <w:sz w:val="21"/>
          <w:szCs w:val="21"/>
        </w:rPr>
      </w:pPr>
      <w:r w:rsidRPr="00445F60">
        <w:rPr>
          <w:rFonts w:asciiTheme="majorHAnsi" w:hAnsiTheme="majorHAnsi" w:cs="Arial"/>
          <w:sz w:val="21"/>
          <w:szCs w:val="21"/>
        </w:rPr>
        <w:t xml:space="preserve">Project goal: </w:t>
      </w:r>
      <w:r w:rsidRPr="00445F60">
        <w:rPr>
          <w:rFonts w:ascii="Calibri" w:hAnsi="Calibri" w:cs="Arial"/>
          <w:sz w:val="21"/>
          <w:szCs w:val="21"/>
        </w:rPr>
        <w:t>to increase availability and uptake of inhaler recycling</w:t>
      </w:r>
    </w:p>
    <w:p w14:paraId="4EA363C8" w14:textId="6FCF9E58" w:rsidR="00796D5F" w:rsidRPr="00445F60" w:rsidRDefault="00796D5F" w:rsidP="003747E4">
      <w:pPr>
        <w:spacing w:after="120"/>
        <w:jc w:val="both"/>
        <w:rPr>
          <w:rFonts w:asciiTheme="majorHAnsi" w:hAnsiTheme="majorHAnsi"/>
          <w:b/>
          <w:sz w:val="21"/>
          <w:szCs w:val="21"/>
        </w:rPr>
      </w:pPr>
      <w:r w:rsidRPr="00445F60">
        <w:rPr>
          <w:rFonts w:asciiTheme="majorHAnsi" w:hAnsiTheme="majorHAnsi" w:cs="Arial"/>
          <w:sz w:val="21"/>
          <w:szCs w:val="21"/>
        </w:rPr>
        <w:t xml:space="preserve">Background: </w:t>
      </w:r>
      <w:r w:rsidRPr="00445F60">
        <w:rPr>
          <w:rFonts w:ascii="Calibri" w:hAnsi="Calibri" w:cs="Arial"/>
          <w:sz w:val="21"/>
          <w:szCs w:val="21"/>
        </w:rPr>
        <w:t>respiratory inhalers</w:t>
      </w:r>
      <w:r w:rsidR="003F0AA0">
        <w:rPr>
          <w:rFonts w:ascii="Calibri" w:hAnsi="Calibri" w:cs="Arial"/>
          <w:sz w:val="21"/>
          <w:szCs w:val="21"/>
        </w:rPr>
        <w:t xml:space="preserve"> are</w:t>
      </w:r>
      <w:r w:rsidRPr="00445F60">
        <w:rPr>
          <w:rFonts w:ascii="Calibri" w:hAnsi="Calibri" w:cs="Arial"/>
          <w:sz w:val="21"/>
          <w:szCs w:val="21"/>
        </w:rPr>
        <w:t xml:space="preserve"> both environmentally and financially costly to the NHS, as outlined above. </w:t>
      </w:r>
      <w:r w:rsidRPr="00445F60">
        <w:rPr>
          <w:rFonts w:cs="Arial"/>
          <w:sz w:val="21"/>
          <w:szCs w:val="21"/>
        </w:rPr>
        <w:t>Furthermore, inhalers are often disposed of before being completely used up. Inhalers disposed of by the usual routes end up in landfill, where the propellant gases escape and contribute to global warming. GlaxoSmithKline (</w:t>
      </w:r>
      <w:r w:rsidRPr="00445F60">
        <w:rPr>
          <w:sz w:val="21"/>
          <w:szCs w:val="21"/>
        </w:rPr>
        <w:t xml:space="preserve">GSK) </w:t>
      </w:r>
      <w:r w:rsidRPr="00445F60">
        <w:rPr>
          <w:rFonts w:cs="Arial"/>
          <w:sz w:val="21"/>
          <w:szCs w:val="21"/>
        </w:rPr>
        <w:t>has an inhaler recycling scheme which will collect inhalers (of any brand) from participating pharmacies and recycle them, thereby avoiding the release of propellant gases. However, most pharmacies, patients and health professionals are currently unaware of the scheme.</w:t>
      </w:r>
    </w:p>
    <w:p w14:paraId="6D37BC88" w14:textId="77777777" w:rsidR="00796D5F" w:rsidRPr="00445F60" w:rsidRDefault="00796D5F" w:rsidP="003747E4">
      <w:pPr>
        <w:spacing w:after="120"/>
        <w:jc w:val="both"/>
        <w:rPr>
          <w:rFonts w:ascii="Calibri" w:hAnsi="Calibri"/>
          <w:sz w:val="21"/>
          <w:szCs w:val="21"/>
        </w:rPr>
      </w:pPr>
      <w:r w:rsidRPr="00445F60">
        <w:rPr>
          <w:rFonts w:asciiTheme="majorHAnsi" w:hAnsiTheme="majorHAnsi"/>
          <w:sz w:val="21"/>
          <w:szCs w:val="21"/>
        </w:rPr>
        <w:t xml:space="preserve">Activities: </w:t>
      </w:r>
      <w:r w:rsidRPr="00445F60">
        <w:rPr>
          <w:rFonts w:ascii="Calibri" w:hAnsi="Calibri"/>
          <w:sz w:val="21"/>
          <w:szCs w:val="21"/>
        </w:rPr>
        <w:t>liaising with local pharmacies (e.g. via the Local Pharmaceutical Committee) to inform them about inhaler recycling and encourage them to participate in the scheme; developing communications materials for healthcare staff and patients; distributing the materials and engaging directly with patients and staff to promote inhaler recycling; liaising with GSK to collect data on number of inhalers recycled and estimate carbon savings; writing up a report/case study to facilitate replication elsewhere.</w:t>
      </w:r>
    </w:p>
    <w:p w14:paraId="0E48952F" w14:textId="77777777" w:rsidR="00796D5F" w:rsidRPr="00445F60" w:rsidRDefault="00796D5F" w:rsidP="003747E4">
      <w:pPr>
        <w:spacing w:after="120"/>
        <w:jc w:val="both"/>
        <w:rPr>
          <w:sz w:val="21"/>
          <w:szCs w:val="21"/>
        </w:rPr>
      </w:pPr>
    </w:p>
    <w:p w14:paraId="73F0F286" w14:textId="77777777" w:rsidR="00796D5F" w:rsidRPr="00445F60" w:rsidRDefault="00796D5F" w:rsidP="001F0E53">
      <w:pPr>
        <w:pStyle w:val="ListParagraph"/>
        <w:numPr>
          <w:ilvl w:val="0"/>
          <w:numId w:val="29"/>
        </w:numPr>
        <w:spacing w:after="120"/>
        <w:ind w:left="360"/>
        <w:jc w:val="both"/>
        <w:rPr>
          <w:rFonts w:asciiTheme="majorHAnsi" w:hAnsiTheme="majorHAnsi"/>
          <w:b/>
          <w:sz w:val="21"/>
          <w:szCs w:val="21"/>
        </w:rPr>
      </w:pPr>
      <w:r w:rsidRPr="00445F60">
        <w:rPr>
          <w:rFonts w:asciiTheme="majorHAnsi" w:hAnsiTheme="majorHAnsi"/>
          <w:b/>
          <w:sz w:val="21"/>
          <w:szCs w:val="21"/>
        </w:rPr>
        <w:t>Project: reducing environmental impact from the use of anaesthetic gases</w:t>
      </w:r>
    </w:p>
    <w:p w14:paraId="7D9505EC" w14:textId="77777777" w:rsidR="00796D5F" w:rsidRPr="00445F60" w:rsidRDefault="00796D5F" w:rsidP="001F0E53">
      <w:pPr>
        <w:spacing w:after="120"/>
        <w:jc w:val="both"/>
        <w:rPr>
          <w:rFonts w:ascii="Calibri" w:hAnsi="Calibri" w:cs="Arial"/>
          <w:sz w:val="21"/>
          <w:szCs w:val="21"/>
        </w:rPr>
      </w:pPr>
      <w:r w:rsidRPr="00445F60">
        <w:rPr>
          <w:rFonts w:ascii="Calibri" w:hAnsi="Calibri" w:cs="Arial"/>
          <w:sz w:val="21"/>
          <w:szCs w:val="21"/>
        </w:rPr>
        <w:t>Clinical area: anaesthetics</w:t>
      </w:r>
    </w:p>
    <w:p w14:paraId="591129B1" w14:textId="552B784C" w:rsidR="00796D5F" w:rsidRPr="00445F60" w:rsidRDefault="00796D5F" w:rsidP="001F0E53">
      <w:pPr>
        <w:spacing w:after="120"/>
        <w:jc w:val="both"/>
        <w:rPr>
          <w:rFonts w:ascii="Calibri" w:hAnsi="Calibri" w:cs="Arial"/>
          <w:sz w:val="21"/>
          <w:szCs w:val="21"/>
        </w:rPr>
      </w:pPr>
      <w:r w:rsidRPr="00445F60">
        <w:rPr>
          <w:rFonts w:ascii="Calibri" w:hAnsi="Calibri" w:cs="Arial"/>
          <w:sz w:val="21"/>
          <w:szCs w:val="21"/>
        </w:rPr>
        <w:t xml:space="preserve">Project goal: to monitor and reduce the environmental </w:t>
      </w:r>
      <w:r w:rsidR="00675009">
        <w:rPr>
          <w:rFonts w:ascii="Calibri" w:hAnsi="Calibri" w:cs="Arial"/>
          <w:sz w:val="21"/>
          <w:szCs w:val="21"/>
        </w:rPr>
        <w:t xml:space="preserve">impact </w:t>
      </w:r>
      <w:r w:rsidRPr="00445F60">
        <w:rPr>
          <w:rFonts w:ascii="Calibri" w:hAnsi="Calibri" w:cs="Arial"/>
          <w:sz w:val="21"/>
          <w:szCs w:val="21"/>
        </w:rPr>
        <w:t>from use of anaesthetic gases</w:t>
      </w:r>
    </w:p>
    <w:p w14:paraId="027947FE" w14:textId="77777777" w:rsidR="00796D5F" w:rsidRPr="00445F60" w:rsidRDefault="00796D5F" w:rsidP="001F0E53">
      <w:pPr>
        <w:spacing w:after="120"/>
        <w:jc w:val="both"/>
        <w:rPr>
          <w:rFonts w:asciiTheme="majorHAnsi" w:hAnsiTheme="majorHAnsi"/>
          <w:b/>
          <w:sz w:val="21"/>
          <w:szCs w:val="21"/>
        </w:rPr>
      </w:pPr>
      <w:r w:rsidRPr="00445F60">
        <w:rPr>
          <w:rFonts w:ascii="Calibri" w:hAnsi="Calibri" w:cs="Arial"/>
          <w:sz w:val="21"/>
          <w:szCs w:val="21"/>
        </w:rPr>
        <w:t xml:space="preserve">Background: </w:t>
      </w:r>
      <w:proofErr w:type="gramStart"/>
      <w:r w:rsidRPr="00445F60">
        <w:rPr>
          <w:rFonts w:ascii="Calibri" w:hAnsi="Calibri" w:cs="Arial"/>
          <w:sz w:val="21"/>
          <w:szCs w:val="21"/>
        </w:rPr>
        <w:t>a number of</w:t>
      </w:r>
      <w:proofErr w:type="gramEnd"/>
      <w:r w:rsidRPr="00445F60">
        <w:rPr>
          <w:rFonts w:ascii="Calibri" w:hAnsi="Calibri" w:cs="Arial"/>
          <w:sz w:val="21"/>
          <w:szCs w:val="21"/>
        </w:rPr>
        <w:t xml:space="preserve"> anaesthetic agents are potent greenhouse gases and contribute 5% of the carbon footprint of acute healthcare organisations (</w:t>
      </w:r>
      <w:hyperlink r:id="rId11" w:history="1">
        <w:r w:rsidRPr="00445F60">
          <w:rPr>
            <w:rStyle w:val="Hyperlink"/>
            <w:rFonts w:ascii="Calibri" w:hAnsi="Calibri" w:cs="Arial"/>
            <w:sz w:val="21"/>
            <w:szCs w:val="21"/>
          </w:rPr>
          <w:t>SDU, 2013</w:t>
        </w:r>
      </w:hyperlink>
      <w:r w:rsidRPr="00445F60">
        <w:rPr>
          <w:rFonts w:ascii="Calibri" w:hAnsi="Calibri" w:cs="Arial"/>
          <w:sz w:val="21"/>
          <w:szCs w:val="21"/>
        </w:rPr>
        <w:t xml:space="preserve">). Options for improving the environmental impact of anaesthetic gas use include: switching to agents with lower global warming potential (avoiding </w:t>
      </w:r>
      <w:proofErr w:type="spellStart"/>
      <w:r w:rsidRPr="00445F60">
        <w:rPr>
          <w:rFonts w:ascii="Calibri" w:hAnsi="Calibri" w:cs="Arial"/>
          <w:sz w:val="21"/>
          <w:szCs w:val="21"/>
        </w:rPr>
        <w:t>desflurane</w:t>
      </w:r>
      <w:proofErr w:type="spellEnd"/>
      <w:r w:rsidRPr="00445F60">
        <w:rPr>
          <w:rFonts w:ascii="Calibri" w:hAnsi="Calibri" w:cs="Arial"/>
          <w:sz w:val="21"/>
          <w:szCs w:val="21"/>
        </w:rPr>
        <w:t>); avoiding the use of excessively high gas flow rates (which cannot be absorbed by the patient); preferential use of local and regional anaesthesia, where clinically appropriate.</w:t>
      </w:r>
    </w:p>
    <w:p w14:paraId="01CB82D7" w14:textId="77777777" w:rsidR="00796D5F" w:rsidRPr="00445F60" w:rsidRDefault="00796D5F" w:rsidP="001F0E53">
      <w:pPr>
        <w:spacing w:after="120"/>
        <w:jc w:val="both"/>
        <w:rPr>
          <w:sz w:val="21"/>
          <w:szCs w:val="21"/>
        </w:rPr>
      </w:pPr>
      <w:r w:rsidRPr="00445F60">
        <w:rPr>
          <w:sz w:val="21"/>
          <w:szCs w:val="21"/>
        </w:rPr>
        <w:t>Activities: in a local anaesthetic department, to establish baseline use of different anaesthetic gases; to introduce measures to reduce environmental impact of anaesthetic gas use while maintaining or enhancing patient care and evaluate their impact; develop a case study and how-to guide.</w:t>
      </w:r>
    </w:p>
    <w:p w14:paraId="776721FC" w14:textId="77777777" w:rsidR="00796D5F" w:rsidRPr="00445F60" w:rsidRDefault="00796D5F" w:rsidP="001F0E53">
      <w:pPr>
        <w:spacing w:after="120"/>
        <w:jc w:val="both"/>
        <w:rPr>
          <w:sz w:val="21"/>
          <w:szCs w:val="21"/>
        </w:rPr>
      </w:pPr>
    </w:p>
    <w:p w14:paraId="4A8FB402" w14:textId="77777777" w:rsidR="00796D5F" w:rsidRPr="00445F60" w:rsidRDefault="00796D5F" w:rsidP="001F0E53">
      <w:pPr>
        <w:pStyle w:val="ListParagraph"/>
        <w:numPr>
          <w:ilvl w:val="0"/>
          <w:numId w:val="29"/>
        </w:numPr>
        <w:spacing w:after="120"/>
        <w:ind w:left="360"/>
        <w:jc w:val="both"/>
        <w:rPr>
          <w:rFonts w:asciiTheme="majorHAnsi" w:hAnsiTheme="majorHAnsi"/>
          <w:b/>
          <w:sz w:val="21"/>
          <w:szCs w:val="21"/>
        </w:rPr>
      </w:pPr>
      <w:r w:rsidRPr="00445F60">
        <w:rPr>
          <w:rFonts w:asciiTheme="majorHAnsi" w:hAnsiTheme="majorHAnsi"/>
          <w:b/>
          <w:sz w:val="21"/>
          <w:szCs w:val="21"/>
        </w:rPr>
        <w:t>Project: promoting best practice in therapeutic use of greenspace in occupational therapy</w:t>
      </w:r>
    </w:p>
    <w:p w14:paraId="05F97F7B" w14:textId="77777777" w:rsidR="00796D5F" w:rsidRPr="00445F60" w:rsidRDefault="00796D5F" w:rsidP="001F0E53">
      <w:pPr>
        <w:spacing w:after="120"/>
        <w:jc w:val="both"/>
        <w:rPr>
          <w:rFonts w:ascii="Calibri" w:hAnsi="Calibri" w:cs="Arial"/>
          <w:sz w:val="21"/>
          <w:szCs w:val="21"/>
        </w:rPr>
      </w:pPr>
      <w:r w:rsidRPr="00445F60">
        <w:rPr>
          <w:rFonts w:asciiTheme="majorHAnsi" w:hAnsiTheme="majorHAnsi" w:cs="Arial"/>
          <w:sz w:val="21"/>
          <w:szCs w:val="21"/>
        </w:rPr>
        <w:t>Clinical area:</w:t>
      </w:r>
      <w:r w:rsidRPr="00445F60">
        <w:rPr>
          <w:rFonts w:ascii="Calibri" w:hAnsi="Calibri" w:cs="Arial"/>
          <w:sz w:val="21"/>
          <w:szCs w:val="21"/>
        </w:rPr>
        <w:t xml:space="preserve"> occupational therapy</w:t>
      </w:r>
    </w:p>
    <w:p w14:paraId="4F9C417D" w14:textId="77777777" w:rsidR="00796D5F" w:rsidRPr="00445F60" w:rsidRDefault="00796D5F" w:rsidP="001F0E53">
      <w:pPr>
        <w:spacing w:after="120"/>
        <w:jc w:val="both"/>
        <w:rPr>
          <w:rFonts w:ascii="Calibri" w:hAnsi="Calibri" w:cs="Arial"/>
          <w:sz w:val="21"/>
          <w:szCs w:val="21"/>
        </w:rPr>
      </w:pPr>
      <w:r w:rsidRPr="00445F60">
        <w:rPr>
          <w:rFonts w:asciiTheme="majorHAnsi" w:hAnsiTheme="majorHAnsi" w:cs="Arial"/>
          <w:sz w:val="21"/>
          <w:szCs w:val="21"/>
        </w:rPr>
        <w:t>Project goal:</w:t>
      </w:r>
      <w:r w:rsidRPr="00445F60">
        <w:rPr>
          <w:rFonts w:ascii="Calibri" w:hAnsi="Calibri" w:cs="Arial"/>
          <w:sz w:val="21"/>
          <w:szCs w:val="21"/>
        </w:rPr>
        <w:t xml:space="preserve"> to develop a case library of good practice in the therapeutic use of greenspace in occupational therapy</w:t>
      </w:r>
    </w:p>
    <w:p w14:paraId="38892DE7" w14:textId="3AC8F35C" w:rsidR="00796D5F" w:rsidRPr="00445F60" w:rsidRDefault="00796D5F" w:rsidP="001F0E53">
      <w:pPr>
        <w:spacing w:after="120"/>
        <w:jc w:val="both"/>
        <w:rPr>
          <w:rFonts w:asciiTheme="majorHAnsi" w:hAnsiTheme="majorHAnsi"/>
          <w:b/>
          <w:sz w:val="21"/>
          <w:szCs w:val="21"/>
        </w:rPr>
      </w:pPr>
      <w:r w:rsidRPr="00445F60">
        <w:rPr>
          <w:rFonts w:asciiTheme="majorHAnsi" w:hAnsiTheme="majorHAnsi" w:cs="Arial"/>
          <w:sz w:val="21"/>
          <w:szCs w:val="21"/>
        </w:rPr>
        <w:t>Background:</w:t>
      </w:r>
      <w:r w:rsidRPr="00445F60">
        <w:rPr>
          <w:rFonts w:ascii="Calibri" w:hAnsi="Calibri" w:cs="Arial"/>
          <w:sz w:val="21"/>
          <w:szCs w:val="21"/>
        </w:rPr>
        <w:t xml:space="preserve"> there is an established evidence base on the value of natural environments to promoting wellbeing and enhancing recovery in a range of physical and mental health conditions. Occupational therapists are well-placed to capitalise on this, both through conducting generic client interactions (e.g. assessments and review meetings) in natural settings, and through specific use of nature-based occupational interventions (e.g. horticultural therapy). Currently these practices take place on a largely ad-hoc basis and there is scope to increase this through highlighting existing best practice. The Scholar will draw on CSH’s Occupational Therapy Sustainable Practice Network (OT-</w:t>
      </w:r>
      <w:proofErr w:type="spellStart"/>
      <w:r w:rsidRPr="00445F60">
        <w:rPr>
          <w:rFonts w:ascii="Calibri" w:hAnsi="Calibri" w:cs="Arial"/>
          <w:sz w:val="21"/>
          <w:szCs w:val="21"/>
        </w:rPr>
        <w:t>Susnet</w:t>
      </w:r>
      <w:proofErr w:type="spellEnd"/>
      <w:r w:rsidRPr="00445F60">
        <w:rPr>
          <w:rFonts w:ascii="Calibri" w:hAnsi="Calibri" w:cs="Arial"/>
          <w:sz w:val="21"/>
          <w:szCs w:val="21"/>
        </w:rPr>
        <w:t xml:space="preserve"> – 700 members) and the charity’s greenspace team for examples and support.</w:t>
      </w:r>
    </w:p>
    <w:p w14:paraId="6282EBDC" w14:textId="21FBCC61" w:rsidR="00B50A56" w:rsidRDefault="00796D5F" w:rsidP="001F0E53">
      <w:pPr>
        <w:spacing w:after="120"/>
        <w:jc w:val="both"/>
        <w:rPr>
          <w:sz w:val="21"/>
          <w:szCs w:val="21"/>
        </w:rPr>
      </w:pPr>
      <w:r w:rsidRPr="00445F60">
        <w:rPr>
          <w:rFonts w:asciiTheme="majorHAnsi" w:hAnsiTheme="majorHAnsi"/>
          <w:sz w:val="21"/>
          <w:szCs w:val="21"/>
        </w:rPr>
        <w:t>Activities:</w:t>
      </w:r>
      <w:r w:rsidRPr="00445F60">
        <w:rPr>
          <w:sz w:val="21"/>
          <w:szCs w:val="21"/>
        </w:rPr>
        <w:t xml:space="preserve"> surveying occupational therapy departments to identify examples of good practice; categorising these into different types of intervention (as outlined above); liaising with departments to develop case studies (including where possible evaluating the impacts on patient experience and outcomes), writing up for publication in relevant journals / presenting to conferences; disseminating learning via OT </w:t>
      </w:r>
      <w:proofErr w:type="spellStart"/>
      <w:r w:rsidRPr="00445F60">
        <w:rPr>
          <w:sz w:val="21"/>
          <w:szCs w:val="21"/>
        </w:rPr>
        <w:t>Susnet</w:t>
      </w:r>
      <w:proofErr w:type="spellEnd"/>
      <w:r w:rsidRPr="00445F60">
        <w:rPr>
          <w:sz w:val="21"/>
          <w:szCs w:val="21"/>
        </w:rPr>
        <w:t xml:space="preserve"> and via the </w:t>
      </w:r>
      <w:hyperlink r:id="rId12" w:history="1">
        <w:r w:rsidRPr="00445F60">
          <w:rPr>
            <w:rStyle w:val="Hyperlink"/>
            <w:sz w:val="21"/>
            <w:szCs w:val="21"/>
          </w:rPr>
          <w:t>NHS Forest</w:t>
        </w:r>
      </w:hyperlink>
      <w:r w:rsidRPr="00445F60">
        <w:rPr>
          <w:sz w:val="21"/>
          <w:szCs w:val="21"/>
        </w:rPr>
        <w:t xml:space="preserve"> network.</w:t>
      </w:r>
    </w:p>
    <w:p w14:paraId="36B3635E" w14:textId="70CB9F41" w:rsidR="003747E4" w:rsidRDefault="003747E4" w:rsidP="001F0E53">
      <w:pPr>
        <w:jc w:val="both"/>
        <w:rPr>
          <w:rFonts w:cs="Arial"/>
          <w:sz w:val="16"/>
          <w:szCs w:val="18"/>
          <w:lang w:val="en-US"/>
        </w:rPr>
      </w:pPr>
      <w:bookmarkStart w:id="0" w:name="_GoBack"/>
      <w:bookmarkEnd w:id="0"/>
    </w:p>
    <w:sectPr w:rsidR="003747E4" w:rsidSect="00484E49">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F4B6" w14:textId="77777777" w:rsidR="000D1C3C" w:rsidRDefault="000D1C3C" w:rsidP="001A1ABC">
      <w:r>
        <w:separator/>
      </w:r>
    </w:p>
  </w:endnote>
  <w:endnote w:type="continuationSeparator" w:id="0">
    <w:p w14:paraId="580F239C" w14:textId="77777777" w:rsidR="000D1C3C" w:rsidRDefault="000D1C3C" w:rsidP="001A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 w:name="GillSans Light">
    <w:altName w:val="Times New Roman"/>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9E91" w14:textId="0391A50D" w:rsidR="00484E49" w:rsidRDefault="00484E49" w:rsidP="00484E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B99">
      <w:rPr>
        <w:rStyle w:val="PageNumber"/>
        <w:noProof/>
      </w:rPr>
      <w:t>8</w:t>
    </w:r>
    <w:r>
      <w:rPr>
        <w:rStyle w:val="PageNumber"/>
      </w:rPr>
      <w:fldChar w:fldCharType="end"/>
    </w:r>
  </w:p>
  <w:p w14:paraId="1CD9E862" w14:textId="77777777" w:rsidR="00484E49" w:rsidRDefault="00484E49" w:rsidP="00484E49">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w:t>
    </w:r>
    <w:proofErr w:type="spellStart"/>
    <w:r>
      <w:rPr>
        <w:rStyle w:val="A1"/>
        <w:color w:val="A6A6A6"/>
      </w:rPr>
      <w:t>Cranbrook</w:t>
    </w:r>
    <w:proofErr w:type="spellEnd"/>
    <w:r>
      <w:rPr>
        <w:rStyle w:val="A1"/>
        <w:color w:val="A6A6A6"/>
      </w:rPr>
      <w:t xml:space="preserve"> House 287-291 Banbury Road Oxford OX2 7JQ </w:t>
    </w:r>
  </w:p>
  <w:p w14:paraId="6EB4CAEB" w14:textId="77777777" w:rsidR="00484E49" w:rsidRDefault="00484E49" w:rsidP="00484E49">
    <w:pPr>
      <w:pStyle w:val="Pa1"/>
      <w:rPr>
        <w:rFonts w:ascii="GillSans" w:hAnsi="GillSans" w:cs="GillSans"/>
        <w:color w:val="A6A6A6"/>
        <w:sz w:val="20"/>
        <w:szCs w:val="20"/>
      </w:rPr>
    </w:pPr>
    <w:r>
      <w:rPr>
        <w:rStyle w:val="A1"/>
        <w:rFonts w:ascii="GillSans" w:hAnsi="GillSans" w:cs="GillSans"/>
        <w:color w:val="A6A6A6"/>
      </w:rPr>
      <w:t xml:space="preserve">t: </w:t>
    </w:r>
    <w:r>
      <w:rPr>
        <w:rStyle w:val="A1"/>
        <w:color w:val="A6A6A6"/>
      </w:rPr>
      <w:t xml:space="preserve">+44 (0)1865 515811 </w:t>
    </w:r>
    <w:r>
      <w:rPr>
        <w:rStyle w:val="A1"/>
        <w:rFonts w:ascii="GillSans" w:hAnsi="GillSans" w:cs="GillSans"/>
        <w:color w:val="A6A6A6"/>
      </w:rPr>
      <w:t xml:space="preserve">email: </w:t>
    </w:r>
    <w:hyperlink r:id="rId1" w:history="1">
      <w:r w:rsidRPr="00E13B20">
        <w:rPr>
          <w:rStyle w:val="Hyperlink"/>
          <w:rFonts w:ascii="GillSans Light" w:hAnsi="GillSans Light" w:cs="GillSans Light"/>
          <w:sz w:val="20"/>
          <w:szCs w:val="20"/>
        </w:rPr>
        <w:t>info@sustainablehealthcare.org.uk</w:t>
      </w:r>
    </w:hyperlink>
    <w:r w:rsidRPr="00E13B20">
      <w:rPr>
        <w:rStyle w:val="A1"/>
        <w:color w:val="A6A6A6"/>
      </w:rPr>
      <w:t xml:space="preserve"> </w:t>
    </w:r>
    <w:r>
      <w:rPr>
        <w:rStyle w:val="A1"/>
        <w:color w:val="A6A6A6"/>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14:paraId="6B52562D" w14:textId="3ECE6F2F" w:rsidR="00484E49" w:rsidRPr="00484E49" w:rsidRDefault="00484E49" w:rsidP="00484E49">
    <w:pPr>
      <w:pStyle w:val="Footer"/>
      <w:tabs>
        <w:tab w:val="clear" w:pos="4513"/>
        <w:tab w:val="clear" w:pos="9026"/>
        <w:tab w:val="left" w:pos="1125"/>
      </w:tabs>
      <w:rPr>
        <w:rFonts w:ascii="Arial" w:hAnsi="Arial" w:cs="Arial"/>
        <w:sz w:val="16"/>
        <w:szCs w:val="16"/>
      </w:rPr>
    </w:pPr>
    <w:r>
      <w:rPr>
        <w:rFonts w:ascii="Arial" w:hAnsi="Arial" w:cs="Arial"/>
        <w:color w:val="808080"/>
        <w:sz w:val="16"/>
        <w:szCs w:val="16"/>
        <w:lang w:val="sv-SE"/>
      </w:rPr>
      <w:t xml:space="preserve">The Centre for Sustainable Healthcare is registered in England &amp; Wales as a company limited by guarantee </w:t>
    </w:r>
    <w:r>
      <w:rPr>
        <w:rFonts w:ascii="Arial" w:hAnsi="Arial" w:cs="Arial"/>
        <w:color w:val="808080"/>
        <w:sz w:val="16"/>
        <w:szCs w:val="16"/>
        <w:lang w:val="en"/>
      </w:rPr>
      <w:t>No. 7450026 and as a charity No. 1143189. Registered address: 8 King Edward Street, Oxford, OX1 4HL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C457" w14:textId="32774245" w:rsidR="00484E49" w:rsidRDefault="00484E49" w:rsidP="00484E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C20">
      <w:rPr>
        <w:rStyle w:val="PageNumber"/>
        <w:noProof/>
      </w:rPr>
      <w:t>1</w:t>
    </w:r>
    <w:r>
      <w:rPr>
        <w:rStyle w:val="PageNumber"/>
      </w:rPr>
      <w:fldChar w:fldCharType="end"/>
    </w:r>
  </w:p>
  <w:p w14:paraId="3CCC1B7E" w14:textId="77777777" w:rsidR="00484E49" w:rsidRDefault="00484E49" w:rsidP="00484E49">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w:t>
    </w:r>
    <w:proofErr w:type="spellStart"/>
    <w:r>
      <w:rPr>
        <w:rStyle w:val="A1"/>
        <w:color w:val="A6A6A6"/>
      </w:rPr>
      <w:t>Cranbrook</w:t>
    </w:r>
    <w:proofErr w:type="spellEnd"/>
    <w:r>
      <w:rPr>
        <w:rStyle w:val="A1"/>
        <w:color w:val="A6A6A6"/>
      </w:rPr>
      <w:t xml:space="preserve"> House 287-291 Banbury Road Oxford OX2 7JQ </w:t>
    </w:r>
  </w:p>
  <w:p w14:paraId="7D477B19" w14:textId="77777777" w:rsidR="00484E49" w:rsidRDefault="00484E49" w:rsidP="00484E49">
    <w:pPr>
      <w:pStyle w:val="Pa1"/>
      <w:rPr>
        <w:rFonts w:ascii="GillSans" w:hAnsi="GillSans" w:cs="GillSans"/>
        <w:color w:val="A6A6A6"/>
        <w:sz w:val="20"/>
        <w:szCs w:val="20"/>
      </w:rPr>
    </w:pPr>
    <w:r>
      <w:rPr>
        <w:rStyle w:val="A1"/>
        <w:rFonts w:ascii="GillSans" w:hAnsi="GillSans" w:cs="GillSans"/>
        <w:color w:val="A6A6A6"/>
      </w:rPr>
      <w:t xml:space="preserve">t: </w:t>
    </w:r>
    <w:r>
      <w:rPr>
        <w:rStyle w:val="A1"/>
        <w:color w:val="A6A6A6"/>
      </w:rPr>
      <w:t xml:space="preserve">+44 (0)1865 515811 </w:t>
    </w:r>
    <w:r>
      <w:rPr>
        <w:rStyle w:val="A1"/>
        <w:rFonts w:ascii="GillSans" w:hAnsi="GillSans" w:cs="GillSans"/>
        <w:color w:val="A6A6A6"/>
      </w:rPr>
      <w:t xml:space="preserve">email: </w:t>
    </w:r>
    <w:hyperlink r:id="rId1" w:history="1">
      <w:r w:rsidRPr="00E13B20">
        <w:rPr>
          <w:rStyle w:val="Hyperlink"/>
          <w:rFonts w:ascii="GillSans Light" w:hAnsi="GillSans Light" w:cs="GillSans Light"/>
          <w:sz w:val="20"/>
          <w:szCs w:val="20"/>
        </w:rPr>
        <w:t>info@sustainablehealthcare.org.uk</w:t>
      </w:r>
    </w:hyperlink>
    <w:r w:rsidRPr="00E13B20">
      <w:rPr>
        <w:rStyle w:val="A1"/>
        <w:color w:val="A6A6A6"/>
      </w:rPr>
      <w:t xml:space="preserve"> </w:t>
    </w:r>
    <w:r>
      <w:rPr>
        <w:rStyle w:val="A1"/>
        <w:color w:val="A6A6A6"/>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14:paraId="2CF44E48" w14:textId="5589ABDA" w:rsidR="00484E49" w:rsidRPr="00484E49" w:rsidRDefault="00484E49" w:rsidP="00484E49">
    <w:pPr>
      <w:pStyle w:val="Footer"/>
      <w:tabs>
        <w:tab w:val="clear" w:pos="4513"/>
        <w:tab w:val="clear" w:pos="9026"/>
        <w:tab w:val="left" w:pos="1125"/>
      </w:tabs>
      <w:rPr>
        <w:rFonts w:ascii="Arial" w:hAnsi="Arial" w:cs="Arial"/>
        <w:sz w:val="16"/>
        <w:szCs w:val="16"/>
      </w:rPr>
    </w:pPr>
    <w:r>
      <w:rPr>
        <w:rFonts w:ascii="Arial" w:hAnsi="Arial" w:cs="Arial"/>
        <w:color w:val="808080"/>
        <w:sz w:val="16"/>
        <w:szCs w:val="16"/>
        <w:lang w:val="sv-SE"/>
      </w:rPr>
      <w:t xml:space="preserve">The Centre for Sustainable Healthcare is registered in England &amp; Wales as a company limited by guarantee </w:t>
    </w:r>
    <w:r>
      <w:rPr>
        <w:rFonts w:ascii="Arial" w:hAnsi="Arial" w:cs="Arial"/>
        <w:color w:val="808080"/>
        <w:sz w:val="16"/>
        <w:szCs w:val="16"/>
        <w:lang w:val="en"/>
      </w:rPr>
      <w:t>No. 7450026 and as a charity No. 1143189. Registered address: 8 King Edward Street, Oxford, OX1 4HL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5452" w14:textId="77777777" w:rsidR="000D1C3C" w:rsidRDefault="000D1C3C" w:rsidP="001A1ABC">
      <w:r>
        <w:separator/>
      </w:r>
    </w:p>
  </w:footnote>
  <w:footnote w:type="continuationSeparator" w:id="0">
    <w:p w14:paraId="2AE8EBF6" w14:textId="77777777" w:rsidR="000D1C3C" w:rsidRDefault="000D1C3C" w:rsidP="001A1ABC">
      <w:r>
        <w:continuationSeparator/>
      </w:r>
    </w:p>
  </w:footnote>
  <w:footnote w:id="1">
    <w:p w14:paraId="647F744A" w14:textId="1C316246" w:rsidR="006D3942" w:rsidRPr="006D7EE2" w:rsidRDefault="006D3942" w:rsidP="00037636">
      <w:pPr>
        <w:rPr>
          <w:rFonts w:cs="Times New Roman"/>
          <w:color w:val="000000" w:themeColor="text1"/>
          <w:sz w:val="16"/>
          <w:szCs w:val="16"/>
          <w:lang w:val="en-US"/>
        </w:rPr>
      </w:pPr>
      <w:r w:rsidRPr="007C0CF0">
        <w:rPr>
          <w:rStyle w:val="FootnoteReference"/>
          <w:color w:val="000000" w:themeColor="text1"/>
          <w:sz w:val="22"/>
          <w:szCs w:val="22"/>
        </w:rPr>
        <w:footnoteRef/>
      </w:r>
      <w:r w:rsidRPr="007C0CF0">
        <w:rPr>
          <w:color w:val="000000" w:themeColor="text1"/>
          <w:sz w:val="22"/>
          <w:szCs w:val="22"/>
        </w:rPr>
        <w:t xml:space="preserve"> </w:t>
      </w:r>
      <w:r w:rsidRPr="00BA6D96">
        <w:rPr>
          <w:rFonts w:cs="Times New Roman"/>
          <w:color w:val="000000" w:themeColor="text1"/>
          <w:sz w:val="16"/>
          <w:szCs w:val="16"/>
          <w:lang w:val="en-US"/>
        </w:rPr>
        <w:t>Health Protection Agency. </w:t>
      </w:r>
      <w:r w:rsidRPr="00BA6D96">
        <w:rPr>
          <w:rFonts w:cs="Times New Roman"/>
          <w:iCs/>
          <w:color w:val="000000" w:themeColor="text1"/>
          <w:sz w:val="16"/>
          <w:szCs w:val="16"/>
          <w:lang w:val="en-US"/>
        </w:rPr>
        <w:t>Health Effects of Climate Change in the UK 2012</w:t>
      </w:r>
      <w:r w:rsidRPr="00BA6D96">
        <w:rPr>
          <w:rFonts w:cs="Times New Roman"/>
          <w:color w:val="000000" w:themeColor="text1"/>
          <w:sz w:val="16"/>
          <w:szCs w:val="16"/>
          <w:lang w:val="en-US"/>
        </w:rPr>
        <w:t>. London: HPA, 2012</w:t>
      </w:r>
    </w:p>
  </w:footnote>
  <w:footnote w:id="2">
    <w:p w14:paraId="77E8C726" w14:textId="46824A42" w:rsidR="00CF686A" w:rsidRDefault="00CF686A" w:rsidP="00037636">
      <w:pPr>
        <w:pStyle w:val="FootnoteText"/>
        <w:spacing w:after="0" w:line="240" w:lineRule="auto"/>
      </w:pPr>
      <w:r>
        <w:rPr>
          <w:rStyle w:val="FootnoteReference"/>
        </w:rPr>
        <w:footnoteRef/>
      </w:r>
      <w:r>
        <w:t xml:space="preserve"> </w:t>
      </w:r>
      <w:r w:rsidRPr="006D3942">
        <w:rPr>
          <w:rFonts w:cs="Arial"/>
          <w:sz w:val="16"/>
          <w:szCs w:val="16"/>
        </w:rPr>
        <w:t xml:space="preserve">National Audit Office. Financial Sustainability of the NHS [Internet]. London: NAO; 2016. Available from: </w:t>
      </w:r>
      <w:hyperlink r:id="rId1" w:history="1">
        <w:r w:rsidRPr="006D3942">
          <w:rPr>
            <w:rStyle w:val="Hyperlink"/>
            <w:rFonts w:cs="Arial"/>
            <w:sz w:val="16"/>
            <w:szCs w:val="16"/>
          </w:rPr>
          <w:t>https://www.nao.org.uk/wp-content/uploads/2016/11/Financial-Sustainability-of-the-NHS.pdf</w:t>
        </w:r>
      </w:hyperlink>
    </w:p>
  </w:footnote>
  <w:footnote w:id="3">
    <w:p w14:paraId="2C9AA1EE" w14:textId="15755464" w:rsidR="006D7EE2" w:rsidRDefault="006D7EE2" w:rsidP="00037636">
      <w:pPr>
        <w:pStyle w:val="FootnoteText"/>
        <w:spacing w:after="0" w:line="240" w:lineRule="auto"/>
      </w:pPr>
      <w:r>
        <w:rPr>
          <w:rStyle w:val="FootnoteReference"/>
        </w:rPr>
        <w:footnoteRef/>
      </w:r>
      <w:r>
        <w:t xml:space="preserve"> </w:t>
      </w:r>
      <w:r w:rsidRPr="006D3942">
        <w:rPr>
          <w:rFonts w:cs="Arial"/>
          <w:color w:val="000000" w:themeColor="text1"/>
          <w:sz w:val="16"/>
          <w:szCs w:val="16"/>
          <w:lang w:val="en-US"/>
        </w:rPr>
        <w:t>Lancet and University College London Institute for Global Health Commission. </w:t>
      </w:r>
      <w:r w:rsidRPr="006D3942">
        <w:rPr>
          <w:rFonts w:cs="Arial"/>
          <w:iCs/>
          <w:color w:val="000000" w:themeColor="text1"/>
          <w:sz w:val="16"/>
          <w:szCs w:val="16"/>
          <w:lang w:val="en-US"/>
        </w:rPr>
        <w:t xml:space="preserve">Managing </w:t>
      </w:r>
      <w:proofErr w:type="gramStart"/>
      <w:r w:rsidRPr="006D3942">
        <w:rPr>
          <w:rFonts w:cs="Arial"/>
          <w:iCs/>
          <w:color w:val="000000" w:themeColor="text1"/>
          <w:sz w:val="16"/>
          <w:szCs w:val="16"/>
          <w:lang w:val="en-US"/>
        </w:rPr>
        <w:t>The</w:t>
      </w:r>
      <w:proofErr w:type="gramEnd"/>
      <w:r w:rsidRPr="006D3942">
        <w:rPr>
          <w:rFonts w:cs="Arial"/>
          <w:iCs/>
          <w:color w:val="000000" w:themeColor="text1"/>
          <w:sz w:val="16"/>
          <w:szCs w:val="16"/>
          <w:lang w:val="en-US"/>
        </w:rPr>
        <w:t xml:space="preserve"> Health Effects Of Climate Change</w:t>
      </w:r>
      <w:r w:rsidRPr="006D3942">
        <w:rPr>
          <w:rFonts w:cs="Arial"/>
          <w:color w:val="000000" w:themeColor="text1"/>
          <w:sz w:val="16"/>
          <w:szCs w:val="16"/>
          <w:lang w:val="en-US"/>
        </w:rPr>
        <w:t>. London: The Lancet, 2009. Print. The Lancet Commissions</w:t>
      </w:r>
    </w:p>
  </w:footnote>
  <w:footnote w:id="4">
    <w:p w14:paraId="383A43F7" w14:textId="21003B42" w:rsidR="006D7EE2" w:rsidRDefault="006D7EE2" w:rsidP="00037636">
      <w:pPr>
        <w:pStyle w:val="FootnoteText"/>
        <w:spacing w:after="0" w:line="240" w:lineRule="auto"/>
      </w:pPr>
      <w:r>
        <w:rPr>
          <w:rStyle w:val="FootnoteReference"/>
        </w:rPr>
        <w:footnoteRef/>
      </w:r>
      <w:r>
        <w:t xml:space="preserve"> </w:t>
      </w:r>
      <w:r w:rsidRPr="007C0CF0">
        <w:rPr>
          <w:rFonts w:cs="Arial"/>
          <w:sz w:val="16"/>
          <w:szCs w:val="18"/>
        </w:rPr>
        <w:t>UK Parliament. Climate Change Act. London: UK Government; 2008</w:t>
      </w:r>
    </w:p>
  </w:footnote>
  <w:footnote w:id="5">
    <w:p w14:paraId="299D67C0" w14:textId="6081C4D3" w:rsidR="00037636" w:rsidRDefault="00037636" w:rsidP="00037636">
      <w:pPr>
        <w:pStyle w:val="FootnoteText"/>
        <w:spacing w:after="0" w:line="240" w:lineRule="auto"/>
      </w:pPr>
      <w:r>
        <w:rPr>
          <w:rStyle w:val="FootnoteReference"/>
        </w:rPr>
        <w:footnoteRef/>
      </w:r>
      <w:r>
        <w:t xml:space="preserve"> </w:t>
      </w:r>
      <w:r w:rsidRPr="00037636">
        <w:rPr>
          <w:sz w:val="16"/>
        </w:rPr>
        <w:t>Mortimer, F. The Sustainable Physician. Clinical Medicine (2010), Vol 10, No 2: 110-11</w:t>
      </w:r>
    </w:p>
  </w:footnote>
  <w:footnote w:id="6">
    <w:p w14:paraId="7A6CB3E4" w14:textId="4F87AA47" w:rsidR="005343FD" w:rsidRDefault="005343FD" w:rsidP="005343FD">
      <w:pPr>
        <w:pStyle w:val="FootnoteText"/>
      </w:pPr>
      <w:r>
        <w:rPr>
          <w:rStyle w:val="FootnoteReference"/>
        </w:rPr>
        <w:footnoteRef/>
      </w:r>
      <w:r>
        <w:t xml:space="preserve"> </w:t>
      </w:r>
      <w:r w:rsidRPr="00AB4B63">
        <w:rPr>
          <w:sz w:val="16"/>
          <w:szCs w:val="16"/>
        </w:rPr>
        <w:t xml:space="preserve">Mortimer, Isherwood, Vaux et al. </w:t>
      </w:r>
      <w:r w:rsidR="00037636" w:rsidRPr="00AB4B63">
        <w:rPr>
          <w:sz w:val="16"/>
          <w:szCs w:val="16"/>
        </w:rPr>
        <w:t xml:space="preserve">Sustainability in Quality Improvement: Redefining Value. </w:t>
      </w:r>
      <w:r w:rsidRPr="00AB4B63">
        <w:rPr>
          <w:sz w:val="16"/>
          <w:szCs w:val="16"/>
        </w:rPr>
        <w:t>(in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EBB3" w14:textId="4CAFD3DC" w:rsidR="00484E49" w:rsidRDefault="00484E49">
    <w:pPr>
      <w:pStyle w:val="Header"/>
    </w:pPr>
    <w:r>
      <w:tab/>
    </w:r>
    <w:r>
      <w:tab/>
    </w:r>
    <w:r>
      <w:rPr>
        <w:noProof/>
        <w:lang w:val="en-US"/>
      </w:rPr>
      <w:drawing>
        <wp:inline distT="0" distB="0" distL="0" distR="0" wp14:anchorId="336BEF48" wp14:editId="73974096">
          <wp:extent cx="2125345" cy="941914"/>
          <wp:effectExtent l="0" t="0" r="8255" b="0"/>
          <wp:docPr id="2" name="Picture 2" descr="CSH log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 log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426" cy="9432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6DB"/>
    <w:multiLevelType w:val="hybridMultilevel"/>
    <w:tmpl w:val="769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B678D"/>
    <w:multiLevelType w:val="hybridMultilevel"/>
    <w:tmpl w:val="BBC866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A213BDC"/>
    <w:multiLevelType w:val="hybridMultilevel"/>
    <w:tmpl w:val="36DCE8DA"/>
    <w:lvl w:ilvl="0" w:tplc="535ED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E37"/>
    <w:multiLevelType w:val="hybridMultilevel"/>
    <w:tmpl w:val="B190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01A06"/>
    <w:multiLevelType w:val="hybridMultilevel"/>
    <w:tmpl w:val="7502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3127E"/>
    <w:multiLevelType w:val="hybridMultilevel"/>
    <w:tmpl w:val="BBD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4221"/>
    <w:multiLevelType w:val="hybridMultilevel"/>
    <w:tmpl w:val="7DF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D5B65"/>
    <w:multiLevelType w:val="hybridMultilevel"/>
    <w:tmpl w:val="F126D8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35B5C49"/>
    <w:multiLevelType w:val="hybridMultilevel"/>
    <w:tmpl w:val="118C773A"/>
    <w:lvl w:ilvl="0" w:tplc="B8E22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12407C"/>
    <w:multiLevelType w:val="hybridMultilevel"/>
    <w:tmpl w:val="103085CA"/>
    <w:lvl w:ilvl="0" w:tplc="535ED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52CFC"/>
    <w:multiLevelType w:val="hybridMultilevel"/>
    <w:tmpl w:val="1A94E224"/>
    <w:lvl w:ilvl="0" w:tplc="535ED1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35058"/>
    <w:multiLevelType w:val="hybridMultilevel"/>
    <w:tmpl w:val="B190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A69BF"/>
    <w:multiLevelType w:val="hybridMultilevel"/>
    <w:tmpl w:val="B42A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F5DA1"/>
    <w:multiLevelType w:val="hybridMultilevel"/>
    <w:tmpl w:val="A73C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B1D13"/>
    <w:multiLevelType w:val="hybridMultilevel"/>
    <w:tmpl w:val="BFDA864E"/>
    <w:lvl w:ilvl="0" w:tplc="535ED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D1533"/>
    <w:multiLevelType w:val="hybridMultilevel"/>
    <w:tmpl w:val="C572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C6DEA"/>
    <w:multiLevelType w:val="hybridMultilevel"/>
    <w:tmpl w:val="AE4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F06AC"/>
    <w:multiLevelType w:val="hybridMultilevel"/>
    <w:tmpl w:val="EB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C3EBB"/>
    <w:multiLevelType w:val="hybridMultilevel"/>
    <w:tmpl w:val="A1A2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72BA9"/>
    <w:multiLevelType w:val="hybridMultilevel"/>
    <w:tmpl w:val="3B105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EC0669"/>
    <w:multiLevelType w:val="hybridMultilevel"/>
    <w:tmpl w:val="27C89534"/>
    <w:lvl w:ilvl="0" w:tplc="7ED407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75BDA"/>
    <w:multiLevelType w:val="hybridMultilevel"/>
    <w:tmpl w:val="4B50A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E1C3B"/>
    <w:multiLevelType w:val="hybridMultilevel"/>
    <w:tmpl w:val="73D6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01FB0"/>
    <w:multiLevelType w:val="hybridMultilevel"/>
    <w:tmpl w:val="64B4AD56"/>
    <w:lvl w:ilvl="0" w:tplc="E1422024">
      <w:start w:val="1"/>
      <w:numFmt w:val="decimal"/>
      <w:lvlText w:val="%1."/>
      <w:lvlJc w:val="left"/>
      <w:pPr>
        <w:ind w:left="720" w:hanging="360"/>
      </w:pPr>
      <w:rPr>
        <w:rFonts w:asciiTheme="minorHAnsi" w:hAnsiTheme="minorHAnsi" w:cstheme="min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05967"/>
    <w:multiLevelType w:val="hybridMultilevel"/>
    <w:tmpl w:val="04AE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E4756"/>
    <w:multiLevelType w:val="hybridMultilevel"/>
    <w:tmpl w:val="0132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16F5B"/>
    <w:multiLevelType w:val="hybridMultilevel"/>
    <w:tmpl w:val="4F3C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73890"/>
    <w:multiLevelType w:val="hybridMultilevel"/>
    <w:tmpl w:val="DC7E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059D0"/>
    <w:multiLevelType w:val="hybridMultilevel"/>
    <w:tmpl w:val="6F28C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50A2E"/>
    <w:multiLevelType w:val="hybridMultilevel"/>
    <w:tmpl w:val="8DBCD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A1E88"/>
    <w:multiLevelType w:val="hybridMultilevel"/>
    <w:tmpl w:val="B05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93655"/>
    <w:multiLevelType w:val="hybridMultilevel"/>
    <w:tmpl w:val="1728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2"/>
  </w:num>
  <w:num w:numId="4">
    <w:abstractNumId w:val="6"/>
  </w:num>
  <w:num w:numId="5">
    <w:abstractNumId w:val="31"/>
  </w:num>
  <w:num w:numId="6">
    <w:abstractNumId w:val="14"/>
  </w:num>
  <w:num w:numId="7">
    <w:abstractNumId w:val="9"/>
  </w:num>
  <w:num w:numId="8">
    <w:abstractNumId w:val="28"/>
  </w:num>
  <w:num w:numId="9">
    <w:abstractNumId w:val="7"/>
  </w:num>
  <w:num w:numId="10">
    <w:abstractNumId w:val="21"/>
  </w:num>
  <w:num w:numId="11">
    <w:abstractNumId w:val="10"/>
  </w:num>
  <w:num w:numId="12">
    <w:abstractNumId w:val="2"/>
  </w:num>
  <w:num w:numId="13">
    <w:abstractNumId w:val="1"/>
  </w:num>
  <w:num w:numId="14">
    <w:abstractNumId w:val="25"/>
  </w:num>
  <w:num w:numId="15">
    <w:abstractNumId w:val="23"/>
  </w:num>
  <w:num w:numId="16">
    <w:abstractNumId w:val="29"/>
  </w:num>
  <w:num w:numId="17">
    <w:abstractNumId w:val="4"/>
  </w:num>
  <w:num w:numId="18">
    <w:abstractNumId w:val="5"/>
  </w:num>
  <w:num w:numId="19">
    <w:abstractNumId w:val="26"/>
  </w:num>
  <w:num w:numId="20">
    <w:abstractNumId w:val="8"/>
  </w:num>
  <w:num w:numId="21">
    <w:abstractNumId w:val="30"/>
  </w:num>
  <w:num w:numId="22">
    <w:abstractNumId w:val="16"/>
  </w:num>
  <w:num w:numId="23">
    <w:abstractNumId w:val="0"/>
  </w:num>
  <w:num w:numId="24">
    <w:abstractNumId w:val="12"/>
  </w:num>
  <w:num w:numId="25">
    <w:abstractNumId w:val="11"/>
  </w:num>
  <w:num w:numId="26">
    <w:abstractNumId w:val="20"/>
  </w:num>
  <w:num w:numId="27">
    <w:abstractNumId w:val="3"/>
  </w:num>
  <w:num w:numId="28">
    <w:abstractNumId w:val="24"/>
  </w:num>
  <w:num w:numId="29">
    <w:abstractNumId w:val="13"/>
  </w:num>
  <w:num w:numId="30">
    <w:abstractNumId w:val="17"/>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BC"/>
    <w:rsid w:val="00022303"/>
    <w:rsid w:val="00022376"/>
    <w:rsid w:val="000226AE"/>
    <w:rsid w:val="00023183"/>
    <w:rsid w:val="00032FC3"/>
    <w:rsid w:val="00035E88"/>
    <w:rsid w:val="00037636"/>
    <w:rsid w:val="00050514"/>
    <w:rsid w:val="00070041"/>
    <w:rsid w:val="000720D6"/>
    <w:rsid w:val="00074B68"/>
    <w:rsid w:val="000807AE"/>
    <w:rsid w:val="00090E01"/>
    <w:rsid w:val="00091DEB"/>
    <w:rsid w:val="000975B2"/>
    <w:rsid w:val="000A3C4C"/>
    <w:rsid w:val="000A43DD"/>
    <w:rsid w:val="000B0794"/>
    <w:rsid w:val="000B2546"/>
    <w:rsid w:val="000B39B5"/>
    <w:rsid w:val="000B5C2F"/>
    <w:rsid w:val="000B7114"/>
    <w:rsid w:val="000C16A2"/>
    <w:rsid w:val="000C1916"/>
    <w:rsid w:val="000C28B7"/>
    <w:rsid w:val="000C4657"/>
    <w:rsid w:val="000C49C0"/>
    <w:rsid w:val="000D0A67"/>
    <w:rsid w:val="000D1C3C"/>
    <w:rsid w:val="000D2B2B"/>
    <w:rsid w:val="000D2CCA"/>
    <w:rsid w:val="000D6B6E"/>
    <w:rsid w:val="000F2F77"/>
    <w:rsid w:val="000F34F8"/>
    <w:rsid w:val="000F4C3A"/>
    <w:rsid w:val="00100BD4"/>
    <w:rsid w:val="0010304C"/>
    <w:rsid w:val="0011072E"/>
    <w:rsid w:val="001125F4"/>
    <w:rsid w:val="00113FBF"/>
    <w:rsid w:val="001171E0"/>
    <w:rsid w:val="00121468"/>
    <w:rsid w:val="0012216B"/>
    <w:rsid w:val="00123C7C"/>
    <w:rsid w:val="00125D04"/>
    <w:rsid w:val="0013434D"/>
    <w:rsid w:val="00144961"/>
    <w:rsid w:val="00146196"/>
    <w:rsid w:val="00166586"/>
    <w:rsid w:val="001717B5"/>
    <w:rsid w:val="00172EE4"/>
    <w:rsid w:val="00174237"/>
    <w:rsid w:val="00185837"/>
    <w:rsid w:val="00187ECE"/>
    <w:rsid w:val="00191241"/>
    <w:rsid w:val="0019564F"/>
    <w:rsid w:val="001973B9"/>
    <w:rsid w:val="001A1ABC"/>
    <w:rsid w:val="001A6A76"/>
    <w:rsid w:val="001B035F"/>
    <w:rsid w:val="001B364C"/>
    <w:rsid w:val="001B6709"/>
    <w:rsid w:val="001C167F"/>
    <w:rsid w:val="001D4A62"/>
    <w:rsid w:val="001E4526"/>
    <w:rsid w:val="001E6E30"/>
    <w:rsid w:val="001F0852"/>
    <w:rsid w:val="001F0BE2"/>
    <w:rsid w:val="001F0E53"/>
    <w:rsid w:val="001F2AC4"/>
    <w:rsid w:val="001F317B"/>
    <w:rsid w:val="002012E3"/>
    <w:rsid w:val="00211220"/>
    <w:rsid w:val="002165FD"/>
    <w:rsid w:val="00221A2A"/>
    <w:rsid w:val="00225EE5"/>
    <w:rsid w:val="0023416E"/>
    <w:rsid w:val="002432EE"/>
    <w:rsid w:val="002463D5"/>
    <w:rsid w:val="00247EAB"/>
    <w:rsid w:val="002657CF"/>
    <w:rsid w:val="002669C9"/>
    <w:rsid w:val="00266A19"/>
    <w:rsid w:val="0027056D"/>
    <w:rsid w:val="0027093B"/>
    <w:rsid w:val="00271B5D"/>
    <w:rsid w:val="00274C49"/>
    <w:rsid w:val="002826F9"/>
    <w:rsid w:val="00285CFE"/>
    <w:rsid w:val="00286186"/>
    <w:rsid w:val="002868F1"/>
    <w:rsid w:val="00293684"/>
    <w:rsid w:val="002958CB"/>
    <w:rsid w:val="00295C9D"/>
    <w:rsid w:val="002976B5"/>
    <w:rsid w:val="00297C33"/>
    <w:rsid w:val="002A2956"/>
    <w:rsid w:val="002A4D74"/>
    <w:rsid w:val="002B1552"/>
    <w:rsid w:val="002B3E71"/>
    <w:rsid w:val="002B7F06"/>
    <w:rsid w:val="002C4A76"/>
    <w:rsid w:val="002C510C"/>
    <w:rsid w:val="002C5504"/>
    <w:rsid w:val="002C592E"/>
    <w:rsid w:val="002C61D4"/>
    <w:rsid w:val="002C736E"/>
    <w:rsid w:val="002C7FE5"/>
    <w:rsid w:val="002D1891"/>
    <w:rsid w:val="002D65E4"/>
    <w:rsid w:val="002D7DBC"/>
    <w:rsid w:val="002F6E83"/>
    <w:rsid w:val="00302AA3"/>
    <w:rsid w:val="00323D38"/>
    <w:rsid w:val="00323DF0"/>
    <w:rsid w:val="00324C97"/>
    <w:rsid w:val="003275D2"/>
    <w:rsid w:val="003310F8"/>
    <w:rsid w:val="00335249"/>
    <w:rsid w:val="0034172C"/>
    <w:rsid w:val="003424FB"/>
    <w:rsid w:val="00343BB5"/>
    <w:rsid w:val="00347826"/>
    <w:rsid w:val="003504EA"/>
    <w:rsid w:val="00350F1B"/>
    <w:rsid w:val="003532F3"/>
    <w:rsid w:val="00360A24"/>
    <w:rsid w:val="00360E00"/>
    <w:rsid w:val="00365EA0"/>
    <w:rsid w:val="003747E4"/>
    <w:rsid w:val="0037500C"/>
    <w:rsid w:val="003755EB"/>
    <w:rsid w:val="00386092"/>
    <w:rsid w:val="00386387"/>
    <w:rsid w:val="00395846"/>
    <w:rsid w:val="003A101C"/>
    <w:rsid w:val="003A79C5"/>
    <w:rsid w:val="003A7F5A"/>
    <w:rsid w:val="003B1F2E"/>
    <w:rsid w:val="003B3D1D"/>
    <w:rsid w:val="003B7915"/>
    <w:rsid w:val="003C3A40"/>
    <w:rsid w:val="003D101A"/>
    <w:rsid w:val="003D1227"/>
    <w:rsid w:val="003D225E"/>
    <w:rsid w:val="003D3017"/>
    <w:rsid w:val="003D39AA"/>
    <w:rsid w:val="003D57C7"/>
    <w:rsid w:val="003E1C7F"/>
    <w:rsid w:val="003F0AA0"/>
    <w:rsid w:val="00403E8C"/>
    <w:rsid w:val="00406DA0"/>
    <w:rsid w:val="004142CD"/>
    <w:rsid w:val="00417D53"/>
    <w:rsid w:val="00423BC3"/>
    <w:rsid w:val="00431FEA"/>
    <w:rsid w:val="00435838"/>
    <w:rsid w:val="00436550"/>
    <w:rsid w:val="00440D03"/>
    <w:rsid w:val="004438CD"/>
    <w:rsid w:val="00445F60"/>
    <w:rsid w:val="00451AB5"/>
    <w:rsid w:val="00455F43"/>
    <w:rsid w:val="00461FAA"/>
    <w:rsid w:val="004622CF"/>
    <w:rsid w:val="00463DB9"/>
    <w:rsid w:val="004642D3"/>
    <w:rsid w:val="004644EE"/>
    <w:rsid w:val="00465DAF"/>
    <w:rsid w:val="00475C20"/>
    <w:rsid w:val="00476233"/>
    <w:rsid w:val="00476D35"/>
    <w:rsid w:val="00480926"/>
    <w:rsid w:val="00482B45"/>
    <w:rsid w:val="0048345B"/>
    <w:rsid w:val="00484E49"/>
    <w:rsid w:val="004862EA"/>
    <w:rsid w:val="00492C7F"/>
    <w:rsid w:val="00496ADC"/>
    <w:rsid w:val="004A1848"/>
    <w:rsid w:val="004A3F57"/>
    <w:rsid w:val="004A645E"/>
    <w:rsid w:val="004A751C"/>
    <w:rsid w:val="004B2E3F"/>
    <w:rsid w:val="004B4C73"/>
    <w:rsid w:val="004B68E0"/>
    <w:rsid w:val="004C0CD5"/>
    <w:rsid w:val="004C173B"/>
    <w:rsid w:val="004C4071"/>
    <w:rsid w:val="004D3A51"/>
    <w:rsid w:val="004F7128"/>
    <w:rsid w:val="005007D0"/>
    <w:rsid w:val="00504DFF"/>
    <w:rsid w:val="005067D1"/>
    <w:rsid w:val="005152CB"/>
    <w:rsid w:val="00516158"/>
    <w:rsid w:val="005165D2"/>
    <w:rsid w:val="00521CAC"/>
    <w:rsid w:val="00521FD0"/>
    <w:rsid w:val="00522207"/>
    <w:rsid w:val="00524D6E"/>
    <w:rsid w:val="00526FF4"/>
    <w:rsid w:val="00527285"/>
    <w:rsid w:val="005343FD"/>
    <w:rsid w:val="00554DEF"/>
    <w:rsid w:val="005612EB"/>
    <w:rsid w:val="00561AAF"/>
    <w:rsid w:val="00564746"/>
    <w:rsid w:val="005651D0"/>
    <w:rsid w:val="00566467"/>
    <w:rsid w:val="00567ED4"/>
    <w:rsid w:val="005714E1"/>
    <w:rsid w:val="00572D84"/>
    <w:rsid w:val="00575563"/>
    <w:rsid w:val="00577A7B"/>
    <w:rsid w:val="00583591"/>
    <w:rsid w:val="005A5378"/>
    <w:rsid w:val="005B2276"/>
    <w:rsid w:val="005B3321"/>
    <w:rsid w:val="005C1686"/>
    <w:rsid w:val="005C1E48"/>
    <w:rsid w:val="005D4454"/>
    <w:rsid w:val="005D7835"/>
    <w:rsid w:val="005F23AA"/>
    <w:rsid w:val="0060006A"/>
    <w:rsid w:val="00601AE7"/>
    <w:rsid w:val="00605AD3"/>
    <w:rsid w:val="0060681C"/>
    <w:rsid w:val="00606DF6"/>
    <w:rsid w:val="00613421"/>
    <w:rsid w:val="006157FC"/>
    <w:rsid w:val="006169D5"/>
    <w:rsid w:val="00625834"/>
    <w:rsid w:val="00627CD0"/>
    <w:rsid w:val="00630375"/>
    <w:rsid w:val="00635815"/>
    <w:rsid w:val="00640EA2"/>
    <w:rsid w:val="00650CB3"/>
    <w:rsid w:val="00655C5A"/>
    <w:rsid w:val="006617FC"/>
    <w:rsid w:val="0066545A"/>
    <w:rsid w:val="00673528"/>
    <w:rsid w:val="00675009"/>
    <w:rsid w:val="00675CBA"/>
    <w:rsid w:val="00677F1D"/>
    <w:rsid w:val="006953E6"/>
    <w:rsid w:val="00696651"/>
    <w:rsid w:val="006A35F7"/>
    <w:rsid w:val="006B12F6"/>
    <w:rsid w:val="006B16F2"/>
    <w:rsid w:val="006B7394"/>
    <w:rsid w:val="006C2C15"/>
    <w:rsid w:val="006C68D2"/>
    <w:rsid w:val="006C786F"/>
    <w:rsid w:val="006D3942"/>
    <w:rsid w:val="006D7EE2"/>
    <w:rsid w:val="006E01BD"/>
    <w:rsid w:val="006E3CF8"/>
    <w:rsid w:val="006E6BE8"/>
    <w:rsid w:val="006F4319"/>
    <w:rsid w:val="006F5BDC"/>
    <w:rsid w:val="00701DFC"/>
    <w:rsid w:val="00702038"/>
    <w:rsid w:val="00702903"/>
    <w:rsid w:val="00702FFF"/>
    <w:rsid w:val="0070633D"/>
    <w:rsid w:val="007126CC"/>
    <w:rsid w:val="00713D05"/>
    <w:rsid w:val="00716497"/>
    <w:rsid w:val="00722167"/>
    <w:rsid w:val="007259A6"/>
    <w:rsid w:val="00731144"/>
    <w:rsid w:val="00736B7A"/>
    <w:rsid w:val="007438EF"/>
    <w:rsid w:val="00743B92"/>
    <w:rsid w:val="00743CBC"/>
    <w:rsid w:val="00743FE6"/>
    <w:rsid w:val="0075156A"/>
    <w:rsid w:val="00761593"/>
    <w:rsid w:val="00765482"/>
    <w:rsid w:val="00767D52"/>
    <w:rsid w:val="00777245"/>
    <w:rsid w:val="0078304C"/>
    <w:rsid w:val="00783355"/>
    <w:rsid w:val="00783C4B"/>
    <w:rsid w:val="00783D8E"/>
    <w:rsid w:val="0078617E"/>
    <w:rsid w:val="007901AB"/>
    <w:rsid w:val="007944BB"/>
    <w:rsid w:val="00796D5F"/>
    <w:rsid w:val="007A2071"/>
    <w:rsid w:val="007B1851"/>
    <w:rsid w:val="007B31C9"/>
    <w:rsid w:val="007B5CEB"/>
    <w:rsid w:val="007B684A"/>
    <w:rsid w:val="007B6ABF"/>
    <w:rsid w:val="007C0CF0"/>
    <w:rsid w:val="007C333D"/>
    <w:rsid w:val="007C5222"/>
    <w:rsid w:val="007D0FA8"/>
    <w:rsid w:val="007D3002"/>
    <w:rsid w:val="007D321D"/>
    <w:rsid w:val="007D3E65"/>
    <w:rsid w:val="007D62D8"/>
    <w:rsid w:val="007D751C"/>
    <w:rsid w:val="007E1FBE"/>
    <w:rsid w:val="007E3C8D"/>
    <w:rsid w:val="007E450F"/>
    <w:rsid w:val="007F3E58"/>
    <w:rsid w:val="007F472F"/>
    <w:rsid w:val="007F4823"/>
    <w:rsid w:val="007F4D0A"/>
    <w:rsid w:val="007F624E"/>
    <w:rsid w:val="007F7403"/>
    <w:rsid w:val="007F793A"/>
    <w:rsid w:val="008034A4"/>
    <w:rsid w:val="00804A0F"/>
    <w:rsid w:val="008149A1"/>
    <w:rsid w:val="008178E1"/>
    <w:rsid w:val="00820C6F"/>
    <w:rsid w:val="00823A27"/>
    <w:rsid w:val="00833CC4"/>
    <w:rsid w:val="00835980"/>
    <w:rsid w:val="00837248"/>
    <w:rsid w:val="00842794"/>
    <w:rsid w:val="00843FA4"/>
    <w:rsid w:val="00847896"/>
    <w:rsid w:val="00852F68"/>
    <w:rsid w:val="008541BB"/>
    <w:rsid w:val="00854F7B"/>
    <w:rsid w:val="0086574A"/>
    <w:rsid w:val="008670EC"/>
    <w:rsid w:val="008757D6"/>
    <w:rsid w:val="00881F6E"/>
    <w:rsid w:val="00882925"/>
    <w:rsid w:val="00882D03"/>
    <w:rsid w:val="00887FC3"/>
    <w:rsid w:val="00890B8E"/>
    <w:rsid w:val="00894BC3"/>
    <w:rsid w:val="00896A84"/>
    <w:rsid w:val="008B17F2"/>
    <w:rsid w:val="008B5899"/>
    <w:rsid w:val="008D2CE2"/>
    <w:rsid w:val="008D3E5C"/>
    <w:rsid w:val="008D68F6"/>
    <w:rsid w:val="008D6E30"/>
    <w:rsid w:val="008E3CF8"/>
    <w:rsid w:val="008E5743"/>
    <w:rsid w:val="008F3D57"/>
    <w:rsid w:val="009150D4"/>
    <w:rsid w:val="00920D77"/>
    <w:rsid w:val="00921A21"/>
    <w:rsid w:val="00925544"/>
    <w:rsid w:val="009259E0"/>
    <w:rsid w:val="00927B89"/>
    <w:rsid w:val="0093043D"/>
    <w:rsid w:val="009312AA"/>
    <w:rsid w:val="00931AB8"/>
    <w:rsid w:val="009418EA"/>
    <w:rsid w:val="009423DB"/>
    <w:rsid w:val="00942BAF"/>
    <w:rsid w:val="009439E1"/>
    <w:rsid w:val="00950148"/>
    <w:rsid w:val="00951713"/>
    <w:rsid w:val="00955EE8"/>
    <w:rsid w:val="0096040E"/>
    <w:rsid w:val="009605A6"/>
    <w:rsid w:val="00961B38"/>
    <w:rsid w:val="00962554"/>
    <w:rsid w:val="00964F97"/>
    <w:rsid w:val="00966C1B"/>
    <w:rsid w:val="009712FA"/>
    <w:rsid w:val="00973C1A"/>
    <w:rsid w:val="00974FD8"/>
    <w:rsid w:val="00984BBB"/>
    <w:rsid w:val="0099126F"/>
    <w:rsid w:val="00992305"/>
    <w:rsid w:val="009A05E9"/>
    <w:rsid w:val="009C1755"/>
    <w:rsid w:val="009C3BC5"/>
    <w:rsid w:val="009D08AB"/>
    <w:rsid w:val="009D0B8C"/>
    <w:rsid w:val="009D0BDA"/>
    <w:rsid w:val="009D2417"/>
    <w:rsid w:val="009D3493"/>
    <w:rsid w:val="009D399F"/>
    <w:rsid w:val="009E2466"/>
    <w:rsid w:val="009E3699"/>
    <w:rsid w:val="009E3A14"/>
    <w:rsid w:val="009E7F18"/>
    <w:rsid w:val="009F2361"/>
    <w:rsid w:val="009F2DDA"/>
    <w:rsid w:val="009F3AD1"/>
    <w:rsid w:val="009F3EBE"/>
    <w:rsid w:val="00A03380"/>
    <w:rsid w:val="00A05C4B"/>
    <w:rsid w:val="00A06B6F"/>
    <w:rsid w:val="00A1700D"/>
    <w:rsid w:val="00A20FEB"/>
    <w:rsid w:val="00A2122D"/>
    <w:rsid w:val="00A258F9"/>
    <w:rsid w:val="00A26AF2"/>
    <w:rsid w:val="00A3604B"/>
    <w:rsid w:val="00A36D45"/>
    <w:rsid w:val="00A4503A"/>
    <w:rsid w:val="00A54119"/>
    <w:rsid w:val="00A6144E"/>
    <w:rsid w:val="00A74616"/>
    <w:rsid w:val="00A77036"/>
    <w:rsid w:val="00A770D6"/>
    <w:rsid w:val="00A82907"/>
    <w:rsid w:val="00A8723A"/>
    <w:rsid w:val="00A940AA"/>
    <w:rsid w:val="00A95034"/>
    <w:rsid w:val="00A955E5"/>
    <w:rsid w:val="00A95C2C"/>
    <w:rsid w:val="00A97413"/>
    <w:rsid w:val="00AA1D55"/>
    <w:rsid w:val="00AA3712"/>
    <w:rsid w:val="00AA3FEC"/>
    <w:rsid w:val="00AA60A5"/>
    <w:rsid w:val="00AB1D78"/>
    <w:rsid w:val="00AB2030"/>
    <w:rsid w:val="00AC71C8"/>
    <w:rsid w:val="00AD097D"/>
    <w:rsid w:val="00AD2F63"/>
    <w:rsid w:val="00AE7FCC"/>
    <w:rsid w:val="00AF179B"/>
    <w:rsid w:val="00AF2020"/>
    <w:rsid w:val="00B01B99"/>
    <w:rsid w:val="00B10C18"/>
    <w:rsid w:val="00B130C1"/>
    <w:rsid w:val="00B234DD"/>
    <w:rsid w:val="00B24CCD"/>
    <w:rsid w:val="00B275AA"/>
    <w:rsid w:val="00B41D24"/>
    <w:rsid w:val="00B47435"/>
    <w:rsid w:val="00B50A56"/>
    <w:rsid w:val="00B50BC9"/>
    <w:rsid w:val="00B56366"/>
    <w:rsid w:val="00B60452"/>
    <w:rsid w:val="00B70472"/>
    <w:rsid w:val="00B70C2D"/>
    <w:rsid w:val="00B8118A"/>
    <w:rsid w:val="00B844AE"/>
    <w:rsid w:val="00B84DB0"/>
    <w:rsid w:val="00B86B22"/>
    <w:rsid w:val="00B9588D"/>
    <w:rsid w:val="00B97958"/>
    <w:rsid w:val="00B97D68"/>
    <w:rsid w:val="00BA00AD"/>
    <w:rsid w:val="00BA4FE6"/>
    <w:rsid w:val="00BA6D96"/>
    <w:rsid w:val="00BB2813"/>
    <w:rsid w:val="00BB5C99"/>
    <w:rsid w:val="00BC1A65"/>
    <w:rsid w:val="00BC274E"/>
    <w:rsid w:val="00BC4173"/>
    <w:rsid w:val="00BC664D"/>
    <w:rsid w:val="00BD291A"/>
    <w:rsid w:val="00BD2981"/>
    <w:rsid w:val="00BD4A84"/>
    <w:rsid w:val="00BD58E8"/>
    <w:rsid w:val="00BE346B"/>
    <w:rsid w:val="00BF213D"/>
    <w:rsid w:val="00BF2FAA"/>
    <w:rsid w:val="00BF3C20"/>
    <w:rsid w:val="00C072D2"/>
    <w:rsid w:val="00C11FA5"/>
    <w:rsid w:val="00C13BFE"/>
    <w:rsid w:val="00C165C0"/>
    <w:rsid w:val="00C241A3"/>
    <w:rsid w:val="00C32BB9"/>
    <w:rsid w:val="00C32D1A"/>
    <w:rsid w:val="00C34B29"/>
    <w:rsid w:val="00C37182"/>
    <w:rsid w:val="00C41120"/>
    <w:rsid w:val="00C54FBF"/>
    <w:rsid w:val="00C562C5"/>
    <w:rsid w:val="00C56B79"/>
    <w:rsid w:val="00C6076F"/>
    <w:rsid w:val="00C6352F"/>
    <w:rsid w:val="00C746EC"/>
    <w:rsid w:val="00C751C8"/>
    <w:rsid w:val="00C846B5"/>
    <w:rsid w:val="00C858BC"/>
    <w:rsid w:val="00C86EA0"/>
    <w:rsid w:val="00C871AA"/>
    <w:rsid w:val="00C93218"/>
    <w:rsid w:val="00C934B0"/>
    <w:rsid w:val="00C96FAC"/>
    <w:rsid w:val="00CB0374"/>
    <w:rsid w:val="00CC0056"/>
    <w:rsid w:val="00CC3942"/>
    <w:rsid w:val="00CC4A5F"/>
    <w:rsid w:val="00CC58B6"/>
    <w:rsid w:val="00CC76FD"/>
    <w:rsid w:val="00CD0AA3"/>
    <w:rsid w:val="00CD10FB"/>
    <w:rsid w:val="00CD2764"/>
    <w:rsid w:val="00CE11B1"/>
    <w:rsid w:val="00CE7F95"/>
    <w:rsid w:val="00CF2F83"/>
    <w:rsid w:val="00CF3FDA"/>
    <w:rsid w:val="00CF686A"/>
    <w:rsid w:val="00CF7B98"/>
    <w:rsid w:val="00D00BC4"/>
    <w:rsid w:val="00D04F09"/>
    <w:rsid w:val="00D12918"/>
    <w:rsid w:val="00D12B93"/>
    <w:rsid w:val="00D13C0A"/>
    <w:rsid w:val="00D14338"/>
    <w:rsid w:val="00D35657"/>
    <w:rsid w:val="00D420A6"/>
    <w:rsid w:val="00D44B92"/>
    <w:rsid w:val="00D45521"/>
    <w:rsid w:val="00D47C32"/>
    <w:rsid w:val="00D52FFD"/>
    <w:rsid w:val="00D53587"/>
    <w:rsid w:val="00D53B9D"/>
    <w:rsid w:val="00D5419B"/>
    <w:rsid w:val="00D56623"/>
    <w:rsid w:val="00D72CC7"/>
    <w:rsid w:val="00D851C9"/>
    <w:rsid w:val="00D85D18"/>
    <w:rsid w:val="00D872CA"/>
    <w:rsid w:val="00D92B82"/>
    <w:rsid w:val="00D9621F"/>
    <w:rsid w:val="00D9623F"/>
    <w:rsid w:val="00D9682E"/>
    <w:rsid w:val="00DA3E11"/>
    <w:rsid w:val="00DA5B89"/>
    <w:rsid w:val="00DB317A"/>
    <w:rsid w:val="00DB34B0"/>
    <w:rsid w:val="00DB4169"/>
    <w:rsid w:val="00DB7F59"/>
    <w:rsid w:val="00DC1C92"/>
    <w:rsid w:val="00DC385A"/>
    <w:rsid w:val="00DD0726"/>
    <w:rsid w:val="00DD19D4"/>
    <w:rsid w:val="00DD1E63"/>
    <w:rsid w:val="00DD243B"/>
    <w:rsid w:val="00DD590C"/>
    <w:rsid w:val="00DE380C"/>
    <w:rsid w:val="00DF2AD9"/>
    <w:rsid w:val="00E0220C"/>
    <w:rsid w:val="00E05BB3"/>
    <w:rsid w:val="00E13B18"/>
    <w:rsid w:val="00E1752B"/>
    <w:rsid w:val="00E23329"/>
    <w:rsid w:val="00E24541"/>
    <w:rsid w:val="00E25AE9"/>
    <w:rsid w:val="00E31789"/>
    <w:rsid w:val="00E342AF"/>
    <w:rsid w:val="00E34623"/>
    <w:rsid w:val="00E425E7"/>
    <w:rsid w:val="00E438DD"/>
    <w:rsid w:val="00E43B72"/>
    <w:rsid w:val="00E47559"/>
    <w:rsid w:val="00E50F3B"/>
    <w:rsid w:val="00E5105D"/>
    <w:rsid w:val="00E51BE7"/>
    <w:rsid w:val="00E669A9"/>
    <w:rsid w:val="00E84C4D"/>
    <w:rsid w:val="00E92AC9"/>
    <w:rsid w:val="00E97396"/>
    <w:rsid w:val="00EA3C75"/>
    <w:rsid w:val="00EB7982"/>
    <w:rsid w:val="00EC123C"/>
    <w:rsid w:val="00EC1F23"/>
    <w:rsid w:val="00EC5FC7"/>
    <w:rsid w:val="00ED3531"/>
    <w:rsid w:val="00EE5F64"/>
    <w:rsid w:val="00EF0E13"/>
    <w:rsid w:val="00EF4602"/>
    <w:rsid w:val="00EF6366"/>
    <w:rsid w:val="00F01217"/>
    <w:rsid w:val="00F16A4E"/>
    <w:rsid w:val="00F172F0"/>
    <w:rsid w:val="00F22454"/>
    <w:rsid w:val="00F2500D"/>
    <w:rsid w:val="00F278F6"/>
    <w:rsid w:val="00F30396"/>
    <w:rsid w:val="00F30A54"/>
    <w:rsid w:val="00F35D3A"/>
    <w:rsid w:val="00F36AF2"/>
    <w:rsid w:val="00F47119"/>
    <w:rsid w:val="00F56BC2"/>
    <w:rsid w:val="00F573C4"/>
    <w:rsid w:val="00F57861"/>
    <w:rsid w:val="00F6318B"/>
    <w:rsid w:val="00F63E15"/>
    <w:rsid w:val="00F67DCD"/>
    <w:rsid w:val="00F716BC"/>
    <w:rsid w:val="00F77DC2"/>
    <w:rsid w:val="00F870EE"/>
    <w:rsid w:val="00F9376E"/>
    <w:rsid w:val="00F972B6"/>
    <w:rsid w:val="00FA2DDA"/>
    <w:rsid w:val="00FA2FD1"/>
    <w:rsid w:val="00FA6049"/>
    <w:rsid w:val="00FB43AF"/>
    <w:rsid w:val="00FC5BF4"/>
    <w:rsid w:val="00FD1DC2"/>
    <w:rsid w:val="00FD22A1"/>
    <w:rsid w:val="00FD3374"/>
    <w:rsid w:val="00FD346C"/>
    <w:rsid w:val="00FD78E8"/>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A2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266A19"/>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A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A1ABC"/>
    <w:pPr>
      <w:spacing w:after="200" w:line="276" w:lineRule="auto"/>
    </w:pPr>
    <w:rPr>
      <w:rFonts w:eastAsiaTheme="minorEastAsia"/>
      <w:sz w:val="22"/>
      <w:szCs w:val="22"/>
      <w:lang w:eastAsia="en-GB"/>
    </w:rPr>
  </w:style>
  <w:style w:type="character" w:customStyle="1" w:styleId="FootnoteTextChar">
    <w:name w:val="Footnote Text Char"/>
    <w:basedOn w:val="DefaultParagraphFont"/>
    <w:link w:val="FootnoteText"/>
    <w:uiPriority w:val="99"/>
    <w:rsid w:val="001A1ABC"/>
    <w:rPr>
      <w:rFonts w:eastAsiaTheme="minorEastAsia"/>
      <w:sz w:val="22"/>
      <w:szCs w:val="22"/>
      <w:lang w:val="en-GB" w:eastAsia="en-GB"/>
    </w:rPr>
  </w:style>
  <w:style w:type="character" w:styleId="FootnoteReference">
    <w:name w:val="footnote reference"/>
    <w:basedOn w:val="DefaultParagraphFont"/>
    <w:uiPriority w:val="99"/>
    <w:unhideWhenUsed/>
    <w:rsid w:val="001A1ABC"/>
    <w:rPr>
      <w:vertAlign w:val="superscript"/>
    </w:rPr>
  </w:style>
  <w:style w:type="character" w:styleId="Hyperlink">
    <w:name w:val="Hyperlink"/>
    <w:basedOn w:val="DefaultParagraphFont"/>
    <w:uiPriority w:val="99"/>
    <w:unhideWhenUsed/>
    <w:rsid w:val="001A1ABC"/>
    <w:rPr>
      <w:color w:val="0563C1" w:themeColor="hyperlink"/>
      <w:u w:val="single"/>
    </w:rPr>
  </w:style>
  <w:style w:type="paragraph" w:styleId="ListParagraph">
    <w:name w:val="List Paragraph"/>
    <w:basedOn w:val="Normal"/>
    <w:uiPriority w:val="34"/>
    <w:qFormat/>
    <w:rsid w:val="00577A7B"/>
    <w:pPr>
      <w:ind w:left="720"/>
      <w:contextualSpacing/>
    </w:pPr>
  </w:style>
  <w:style w:type="paragraph" w:styleId="Header">
    <w:name w:val="header"/>
    <w:basedOn w:val="Normal"/>
    <w:link w:val="HeaderChar"/>
    <w:unhideWhenUsed/>
    <w:rsid w:val="00484E49"/>
    <w:pPr>
      <w:tabs>
        <w:tab w:val="center" w:pos="4513"/>
        <w:tab w:val="right" w:pos="9026"/>
      </w:tabs>
    </w:pPr>
  </w:style>
  <w:style w:type="character" w:customStyle="1" w:styleId="HeaderChar">
    <w:name w:val="Header Char"/>
    <w:basedOn w:val="DefaultParagraphFont"/>
    <w:link w:val="Header"/>
    <w:uiPriority w:val="99"/>
    <w:rsid w:val="00484E49"/>
    <w:rPr>
      <w:lang w:val="en-GB"/>
    </w:rPr>
  </w:style>
  <w:style w:type="paragraph" w:styleId="Footer">
    <w:name w:val="footer"/>
    <w:basedOn w:val="Normal"/>
    <w:link w:val="FooterChar"/>
    <w:unhideWhenUsed/>
    <w:rsid w:val="00484E49"/>
    <w:pPr>
      <w:tabs>
        <w:tab w:val="center" w:pos="4513"/>
        <w:tab w:val="right" w:pos="9026"/>
      </w:tabs>
    </w:pPr>
  </w:style>
  <w:style w:type="character" w:customStyle="1" w:styleId="FooterChar">
    <w:name w:val="Footer Char"/>
    <w:basedOn w:val="DefaultParagraphFont"/>
    <w:link w:val="Footer"/>
    <w:uiPriority w:val="99"/>
    <w:rsid w:val="00484E49"/>
    <w:rPr>
      <w:lang w:val="en-GB"/>
    </w:rPr>
  </w:style>
  <w:style w:type="paragraph" w:customStyle="1" w:styleId="Pa0">
    <w:name w:val="Pa0"/>
    <w:basedOn w:val="Normal"/>
    <w:next w:val="Normal"/>
    <w:rsid w:val="00484E49"/>
    <w:pPr>
      <w:autoSpaceDE w:val="0"/>
      <w:autoSpaceDN w:val="0"/>
      <w:adjustRightInd w:val="0"/>
      <w:spacing w:line="241" w:lineRule="atLeast"/>
    </w:pPr>
    <w:rPr>
      <w:rFonts w:ascii="Trajan Pro" w:eastAsia="Calibri" w:hAnsi="Trajan Pro" w:cs="Times New Roman"/>
    </w:rPr>
  </w:style>
  <w:style w:type="character" w:customStyle="1" w:styleId="A1">
    <w:name w:val="A1"/>
    <w:uiPriority w:val="99"/>
    <w:rsid w:val="00484E49"/>
    <w:rPr>
      <w:rFonts w:ascii="GillSans Light" w:hAnsi="GillSans Light" w:cs="GillSans Light"/>
      <w:color w:val="000000"/>
      <w:sz w:val="20"/>
      <w:szCs w:val="20"/>
    </w:rPr>
  </w:style>
  <w:style w:type="paragraph" w:customStyle="1" w:styleId="Pa1">
    <w:name w:val="Pa1"/>
    <w:basedOn w:val="Normal"/>
    <w:next w:val="Normal"/>
    <w:rsid w:val="00484E49"/>
    <w:pPr>
      <w:autoSpaceDE w:val="0"/>
      <w:autoSpaceDN w:val="0"/>
      <w:adjustRightInd w:val="0"/>
      <w:spacing w:line="241" w:lineRule="atLeast"/>
    </w:pPr>
    <w:rPr>
      <w:rFonts w:ascii="Trajan Pro" w:eastAsia="Calibri" w:hAnsi="Trajan Pro" w:cs="Times New Roman"/>
    </w:rPr>
  </w:style>
  <w:style w:type="character" w:styleId="PageNumber">
    <w:name w:val="page number"/>
    <w:basedOn w:val="DefaultParagraphFont"/>
    <w:semiHidden/>
    <w:rsid w:val="00484E49"/>
  </w:style>
  <w:style w:type="paragraph" w:customStyle="1" w:styleId="Pa4">
    <w:name w:val="Pa4"/>
    <w:basedOn w:val="Normal"/>
    <w:next w:val="Normal"/>
    <w:uiPriority w:val="99"/>
    <w:rsid w:val="004C4071"/>
    <w:pPr>
      <w:autoSpaceDE w:val="0"/>
      <w:autoSpaceDN w:val="0"/>
      <w:adjustRightInd w:val="0"/>
      <w:spacing w:line="241" w:lineRule="atLeast"/>
    </w:pPr>
    <w:rPr>
      <w:rFonts w:ascii="Myriad Pro" w:eastAsia="MS Mincho" w:hAnsi="Myriad Pro" w:cs="Myriad Pro"/>
      <w:noProof/>
      <w:lang w:val="en-US"/>
    </w:rPr>
  </w:style>
  <w:style w:type="character" w:customStyle="1" w:styleId="Heading2Char">
    <w:name w:val="Heading 2 Char"/>
    <w:basedOn w:val="DefaultParagraphFont"/>
    <w:link w:val="Heading2"/>
    <w:rsid w:val="00266A19"/>
    <w:rPr>
      <w:rFonts w:ascii="Cambria" w:eastAsia="Times New Roman" w:hAnsi="Cambria" w:cs="Times New Roman"/>
      <w:b/>
      <w:bCs/>
      <w:color w:val="4F81BD"/>
      <w:sz w:val="26"/>
      <w:szCs w:val="26"/>
      <w:lang w:val="en-GB"/>
    </w:rPr>
  </w:style>
  <w:style w:type="paragraph" w:customStyle="1" w:styleId="Body">
    <w:name w:val="Body"/>
    <w:rsid w:val="00266A19"/>
    <w:rPr>
      <w:rFonts w:ascii="Helvetica" w:eastAsia="ヒラギノ角ゴ Pro W3" w:hAnsi="Helvetica" w:cs="Times New Roman"/>
      <w:color w:val="000000"/>
      <w:szCs w:val="20"/>
    </w:rPr>
  </w:style>
  <w:style w:type="character" w:styleId="EndnoteReference">
    <w:name w:val="endnote reference"/>
    <w:basedOn w:val="DefaultParagraphFont"/>
    <w:uiPriority w:val="99"/>
    <w:unhideWhenUsed/>
    <w:rsid w:val="00605AD3"/>
    <w:rPr>
      <w:vertAlign w:val="superscript"/>
    </w:rPr>
  </w:style>
  <w:style w:type="paragraph" w:styleId="BalloonText">
    <w:name w:val="Balloon Text"/>
    <w:basedOn w:val="Normal"/>
    <w:link w:val="BalloonTextChar"/>
    <w:uiPriority w:val="99"/>
    <w:semiHidden/>
    <w:unhideWhenUsed/>
    <w:rsid w:val="00A770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036"/>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A77036"/>
    <w:rPr>
      <w:sz w:val="18"/>
      <w:szCs w:val="18"/>
    </w:rPr>
  </w:style>
  <w:style w:type="paragraph" w:styleId="CommentText">
    <w:name w:val="annotation text"/>
    <w:basedOn w:val="Normal"/>
    <w:link w:val="CommentTextChar"/>
    <w:uiPriority w:val="99"/>
    <w:semiHidden/>
    <w:unhideWhenUsed/>
    <w:rsid w:val="00A77036"/>
  </w:style>
  <w:style w:type="character" w:customStyle="1" w:styleId="CommentTextChar">
    <w:name w:val="Comment Text Char"/>
    <w:basedOn w:val="DefaultParagraphFont"/>
    <w:link w:val="CommentText"/>
    <w:uiPriority w:val="99"/>
    <w:semiHidden/>
    <w:rsid w:val="00A77036"/>
    <w:rPr>
      <w:lang w:val="en-GB"/>
    </w:rPr>
  </w:style>
  <w:style w:type="paragraph" w:styleId="CommentSubject">
    <w:name w:val="annotation subject"/>
    <w:basedOn w:val="CommentText"/>
    <w:next w:val="CommentText"/>
    <w:link w:val="CommentSubjectChar"/>
    <w:uiPriority w:val="99"/>
    <w:semiHidden/>
    <w:unhideWhenUsed/>
    <w:rsid w:val="00A77036"/>
    <w:rPr>
      <w:b/>
      <w:bCs/>
      <w:sz w:val="20"/>
      <w:szCs w:val="20"/>
    </w:rPr>
  </w:style>
  <w:style w:type="character" w:customStyle="1" w:styleId="CommentSubjectChar">
    <w:name w:val="Comment Subject Char"/>
    <w:basedOn w:val="CommentTextChar"/>
    <w:link w:val="CommentSubject"/>
    <w:uiPriority w:val="99"/>
    <w:semiHidden/>
    <w:rsid w:val="00A77036"/>
    <w:rPr>
      <w:b/>
      <w:bCs/>
      <w:sz w:val="20"/>
      <w:szCs w:val="20"/>
      <w:lang w:val="en-GB"/>
    </w:rPr>
  </w:style>
  <w:style w:type="character" w:styleId="FollowedHyperlink">
    <w:name w:val="FollowedHyperlink"/>
    <w:basedOn w:val="DefaultParagraphFont"/>
    <w:uiPriority w:val="99"/>
    <w:semiHidden/>
    <w:unhideWhenUsed/>
    <w:rsid w:val="00942BAF"/>
    <w:rPr>
      <w:color w:val="954F72" w:themeColor="followedHyperlink"/>
      <w:u w:val="single"/>
    </w:rPr>
  </w:style>
  <w:style w:type="paragraph" w:styleId="Revision">
    <w:name w:val="Revision"/>
    <w:hidden/>
    <w:uiPriority w:val="99"/>
    <w:semiHidden/>
    <w:rsid w:val="00C6076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951">
      <w:bodyDiv w:val="1"/>
      <w:marLeft w:val="0"/>
      <w:marRight w:val="0"/>
      <w:marTop w:val="0"/>
      <w:marBottom w:val="0"/>
      <w:divBdr>
        <w:top w:val="none" w:sz="0" w:space="0" w:color="auto"/>
        <w:left w:val="none" w:sz="0" w:space="0" w:color="auto"/>
        <w:bottom w:val="none" w:sz="0" w:space="0" w:color="auto"/>
        <w:right w:val="none" w:sz="0" w:space="0" w:color="auto"/>
      </w:divBdr>
    </w:div>
    <w:div w:id="137691870">
      <w:bodyDiv w:val="1"/>
      <w:marLeft w:val="0"/>
      <w:marRight w:val="0"/>
      <w:marTop w:val="0"/>
      <w:marBottom w:val="0"/>
      <w:divBdr>
        <w:top w:val="none" w:sz="0" w:space="0" w:color="auto"/>
        <w:left w:val="none" w:sz="0" w:space="0" w:color="auto"/>
        <w:bottom w:val="none" w:sz="0" w:space="0" w:color="auto"/>
        <w:right w:val="none" w:sz="0" w:space="0" w:color="auto"/>
      </w:divBdr>
    </w:div>
    <w:div w:id="387805761">
      <w:bodyDiv w:val="1"/>
      <w:marLeft w:val="0"/>
      <w:marRight w:val="0"/>
      <w:marTop w:val="0"/>
      <w:marBottom w:val="0"/>
      <w:divBdr>
        <w:top w:val="none" w:sz="0" w:space="0" w:color="auto"/>
        <w:left w:val="none" w:sz="0" w:space="0" w:color="auto"/>
        <w:bottom w:val="none" w:sz="0" w:space="0" w:color="auto"/>
        <w:right w:val="none" w:sz="0" w:space="0" w:color="auto"/>
      </w:divBdr>
    </w:div>
    <w:div w:id="647175656">
      <w:bodyDiv w:val="1"/>
      <w:marLeft w:val="0"/>
      <w:marRight w:val="0"/>
      <w:marTop w:val="0"/>
      <w:marBottom w:val="0"/>
      <w:divBdr>
        <w:top w:val="none" w:sz="0" w:space="0" w:color="auto"/>
        <w:left w:val="none" w:sz="0" w:space="0" w:color="auto"/>
        <w:bottom w:val="none" w:sz="0" w:space="0" w:color="auto"/>
        <w:right w:val="none" w:sz="0" w:space="0" w:color="auto"/>
      </w:divBdr>
    </w:div>
    <w:div w:id="653724451">
      <w:bodyDiv w:val="1"/>
      <w:marLeft w:val="0"/>
      <w:marRight w:val="0"/>
      <w:marTop w:val="0"/>
      <w:marBottom w:val="0"/>
      <w:divBdr>
        <w:top w:val="none" w:sz="0" w:space="0" w:color="auto"/>
        <w:left w:val="none" w:sz="0" w:space="0" w:color="auto"/>
        <w:bottom w:val="none" w:sz="0" w:space="0" w:color="auto"/>
        <w:right w:val="none" w:sz="0" w:space="0" w:color="auto"/>
      </w:divBdr>
    </w:div>
    <w:div w:id="757598921">
      <w:bodyDiv w:val="1"/>
      <w:marLeft w:val="0"/>
      <w:marRight w:val="0"/>
      <w:marTop w:val="0"/>
      <w:marBottom w:val="0"/>
      <w:divBdr>
        <w:top w:val="none" w:sz="0" w:space="0" w:color="auto"/>
        <w:left w:val="none" w:sz="0" w:space="0" w:color="auto"/>
        <w:bottom w:val="none" w:sz="0" w:space="0" w:color="auto"/>
        <w:right w:val="none" w:sz="0" w:space="0" w:color="auto"/>
      </w:divBdr>
    </w:div>
    <w:div w:id="852693674">
      <w:bodyDiv w:val="1"/>
      <w:marLeft w:val="0"/>
      <w:marRight w:val="0"/>
      <w:marTop w:val="0"/>
      <w:marBottom w:val="0"/>
      <w:divBdr>
        <w:top w:val="none" w:sz="0" w:space="0" w:color="auto"/>
        <w:left w:val="none" w:sz="0" w:space="0" w:color="auto"/>
        <w:bottom w:val="none" w:sz="0" w:space="0" w:color="auto"/>
        <w:right w:val="none" w:sz="0" w:space="0" w:color="auto"/>
      </w:divBdr>
    </w:div>
    <w:div w:id="931546891">
      <w:bodyDiv w:val="1"/>
      <w:marLeft w:val="0"/>
      <w:marRight w:val="0"/>
      <w:marTop w:val="0"/>
      <w:marBottom w:val="0"/>
      <w:divBdr>
        <w:top w:val="none" w:sz="0" w:space="0" w:color="auto"/>
        <w:left w:val="none" w:sz="0" w:space="0" w:color="auto"/>
        <w:bottom w:val="none" w:sz="0" w:space="0" w:color="auto"/>
        <w:right w:val="none" w:sz="0" w:space="0" w:color="auto"/>
      </w:divBdr>
    </w:div>
    <w:div w:id="970749408">
      <w:bodyDiv w:val="1"/>
      <w:marLeft w:val="0"/>
      <w:marRight w:val="0"/>
      <w:marTop w:val="0"/>
      <w:marBottom w:val="0"/>
      <w:divBdr>
        <w:top w:val="none" w:sz="0" w:space="0" w:color="auto"/>
        <w:left w:val="none" w:sz="0" w:space="0" w:color="auto"/>
        <w:bottom w:val="none" w:sz="0" w:space="0" w:color="auto"/>
        <w:right w:val="none" w:sz="0" w:space="0" w:color="auto"/>
      </w:divBdr>
    </w:div>
    <w:div w:id="1057244937">
      <w:bodyDiv w:val="1"/>
      <w:marLeft w:val="0"/>
      <w:marRight w:val="0"/>
      <w:marTop w:val="0"/>
      <w:marBottom w:val="0"/>
      <w:divBdr>
        <w:top w:val="none" w:sz="0" w:space="0" w:color="auto"/>
        <w:left w:val="none" w:sz="0" w:space="0" w:color="auto"/>
        <w:bottom w:val="none" w:sz="0" w:space="0" w:color="auto"/>
        <w:right w:val="none" w:sz="0" w:space="0" w:color="auto"/>
      </w:divBdr>
    </w:div>
    <w:div w:id="1231844999">
      <w:bodyDiv w:val="1"/>
      <w:marLeft w:val="0"/>
      <w:marRight w:val="0"/>
      <w:marTop w:val="0"/>
      <w:marBottom w:val="0"/>
      <w:divBdr>
        <w:top w:val="none" w:sz="0" w:space="0" w:color="auto"/>
        <w:left w:val="none" w:sz="0" w:space="0" w:color="auto"/>
        <w:bottom w:val="none" w:sz="0" w:space="0" w:color="auto"/>
        <w:right w:val="none" w:sz="0" w:space="0" w:color="auto"/>
      </w:divBdr>
    </w:div>
    <w:div w:id="1490903462">
      <w:bodyDiv w:val="1"/>
      <w:marLeft w:val="0"/>
      <w:marRight w:val="0"/>
      <w:marTop w:val="0"/>
      <w:marBottom w:val="0"/>
      <w:divBdr>
        <w:top w:val="none" w:sz="0" w:space="0" w:color="auto"/>
        <w:left w:val="none" w:sz="0" w:space="0" w:color="auto"/>
        <w:bottom w:val="none" w:sz="0" w:space="0" w:color="auto"/>
        <w:right w:val="none" w:sz="0" w:space="0" w:color="auto"/>
      </w:divBdr>
    </w:div>
    <w:div w:id="1663656268">
      <w:bodyDiv w:val="1"/>
      <w:marLeft w:val="0"/>
      <w:marRight w:val="0"/>
      <w:marTop w:val="0"/>
      <w:marBottom w:val="0"/>
      <w:divBdr>
        <w:top w:val="none" w:sz="0" w:space="0" w:color="auto"/>
        <w:left w:val="none" w:sz="0" w:space="0" w:color="auto"/>
        <w:bottom w:val="none" w:sz="0" w:space="0" w:color="auto"/>
        <w:right w:val="none" w:sz="0" w:space="0" w:color="auto"/>
      </w:divBdr>
    </w:div>
    <w:div w:id="1879901047">
      <w:bodyDiv w:val="1"/>
      <w:marLeft w:val="0"/>
      <w:marRight w:val="0"/>
      <w:marTop w:val="0"/>
      <w:marBottom w:val="0"/>
      <w:divBdr>
        <w:top w:val="none" w:sz="0" w:space="0" w:color="auto"/>
        <w:left w:val="none" w:sz="0" w:space="0" w:color="auto"/>
        <w:bottom w:val="none" w:sz="0" w:space="0" w:color="auto"/>
        <w:right w:val="none" w:sz="0" w:space="0" w:color="auto"/>
      </w:divBdr>
    </w:div>
    <w:div w:id="196688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farrow@sustainablehealthcar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fore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uhealth.org.uk/areas-of-focus/carbon-hotspots/anaesthetic-gase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tworks.nhs.uk/nhs-networks/london-lungs/responsible-respiratory-prescribing-rrp" TargetMode="External"/><Relationship Id="rId4" Type="http://schemas.openxmlformats.org/officeDocument/2006/relationships/settings" Target="settings.xml"/><Relationship Id="rId9" Type="http://schemas.openxmlformats.org/officeDocument/2006/relationships/hyperlink" Target="http://www.practiceupdate.com/content/overtreatment-of-copd-with-inhaled-corticosteroids-implications-for-safety-and-costs-cross-sectional-observational-study/5534?trendmd-shared=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stainablehealthcar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stainablehealthcare.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o.org.uk/wp-content/uploads/2016/11/Financial-Sustainability-of-the-NH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271BF0-D62A-4ADF-9C57-AEACC06B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Mortimer</dc:creator>
  <cp:keywords/>
  <dc:description/>
  <cp:lastModifiedBy>Ingeborg Steinbach</cp:lastModifiedBy>
  <cp:revision>7</cp:revision>
  <dcterms:created xsi:type="dcterms:W3CDTF">2017-03-29T15:46:00Z</dcterms:created>
  <dcterms:modified xsi:type="dcterms:W3CDTF">2017-04-26T13:25:00Z</dcterms:modified>
  <cp:category/>
</cp:coreProperties>
</file>